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B0C8C" w14:textId="6D701395" w:rsidR="00B3309C" w:rsidRPr="00564450" w:rsidRDefault="00564450" w:rsidP="00564450">
      <w:pPr>
        <w:shd w:val="clear" w:color="auto" w:fill="FFFFFF"/>
        <w:jc w:val="right"/>
        <w:rPr>
          <w:rFonts w:asciiTheme="minorHAnsi" w:eastAsia="Calibri" w:hAnsiTheme="minorHAnsi"/>
          <w:bCs/>
          <w:sz w:val="22"/>
          <w:szCs w:val="22"/>
          <w:bdr w:val="none" w:sz="0" w:space="0" w:color="auto" w:frame="1"/>
        </w:rPr>
      </w:pPr>
      <w:r w:rsidRPr="00564450">
        <w:rPr>
          <w:rFonts w:asciiTheme="minorHAnsi" w:eastAsia="Calibri" w:hAnsiTheme="minorHAnsi"/>
          <w:bCs/>
          <w:sz w:val="22"/>
          <w:szCs w:val="22"/>
          <w:bdr w:val="none" w:sz="0" w:space="0" w:color="auto" w:frame="1"/>
        </w:rPr>
        <w:t>Wrocław, 15.06.2018 r.</w:t>
      </w:r>
    </w:p>
    <w:p w14:paraId="42045481" w14:textId="77777777" w:rsidR="00564450" w:rsidRDefault="00564450" w:rsidP="00B3309C">
      <w:pPr>
        <w:shd w:val="clear" w:color="auto" w:fill="FFFFFF"/>
        <w:jc w:val="center"/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</w:pPr>
      <w:bookmarkStart w:id="0" w:name="_GoBack"/>
      <w:bookmarkEnd w:id="0"/>
    </w:p>
    <w:p w14:paraId="3B2AA105" w14:textId="77777777" w:rsidR="00564450" w:rsidRDefault="00564450" w:rsidP="00B3309C">
      <w:pPr>
        <w:shd w:val="clear" w:color="auto" w:fill="FFFFFF"/>
        <w:jc w:val="center"/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</w:pPr>
    </w:p>
    <w:p w14:paraId="72EE63E7" w14:textId="44B5C120" w:rsidR="00517207" w:rsidRPr="00406508" w:rsidRDefault="006D2E83" w:rsidP="00B3309C">
      <w:pPr>
        <w:shd w:val="clear" w:color="auto" w:fill="FFFFFF"/>
        <w:jc w:val="center"/>
        <w:rPr>
          <w:rFonts w:asciiTheme="minorHAnsi" w:eastAsia="Calibri" w:hAnsiTheme="minorHAnsi"/>
          <w:color w:val="FF0000"/>
          <w:sz w:val="22"/>
          <w:szCs w:val="22"/>
        </w:rPr>
      </w:pPr>
      <w:r w:rsidRPr="00797985"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  <w:t xml:space="preserve">Szacowanie wartości zamówienia nr </w:t>
      </w:r>
      <w:r w:rsidR="004477B2" w:rsidRPr="00270385"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  <w:t>01/06/2018/</w:t>
      </w:r>
      <w:r w:rsidR="00152975" w:rsidRPr="00270385"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  <w:t>Z004/</w:t>
      </w:r>
      <w:r w:rsidR="005F649A" w:rsidRPr="00270385"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  <w:t>80/</w:t>
      </w:r>
      <w:r w:rsidR="004477B2" w:rsidRPr="00270385"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  <w:t>IJ/S</w:t>
      </w:r>
    </w:p>
    <w:p w14:paraId="48C11E15" w14:textId="77777777" w:rsidR="00803C7D" w:rsidRPr="00797985" w:rsidRDefault="00803C7D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</w:p>
    <w:p w14:paraId="4444AF84" w14:textId="77777777" w:rsidR="004477B2" w:rsidRPr="00797985" w:rsidRDefault="004477B2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</w:p>
    <w:p w14:paraId="6CAB494D" w14:textId="77777777" w:rsidR="004477B2" w:rsidRPr="00797985" w:rsidRDefault="006D2E83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  <w:r w:rsidRPr="00797985">
        <w:rPr>
          <w:rFonts w:asciiTheme="minorHAnsi" w:eastAsia="Calibri" w:hAnsiTheme="minorHAnsi"/>
          <w:sz w:val="22"/>
          <w:szCs w:val="22"/>
        </w:rPr>
        <w:t>Zamawiający w związku z zamiarem ogłoszenia pr</w:t>
      </w:r>
      <w:r w:rsidR="004477B2" w:rsidRPr="00797985">
        <w:rPr>
          <w:rFonts w:asciiTheme="minorHAnsi" w:eastAsia="Calibri" w:hAnsiTheme="minorHAnsi"/>
          <w:sz w:val="22"/>
          <w:szCs w:val="22"/>
        </w:rPr>
        <w:t xml:space="preserve">ocedury zasady konkurencyjności </w:t>
      </w:r>
      <w:r w:rsidRPr="00797985">
        <w:rPr>
          <w:rFonts w:asciiTheme="minorHAnsi" w:eastAsia="Calibri" w:hAnsiTheme="minorHAnsi"/>
          <w:sz w:val="22"/>
          <w:szCs w:val="22"/>
        </w:rPr>
        <w:t xml:space="preserve">przeprowadza procedurę szacowania zamówienia zgodnie z Wytycznymi w zakresie kwalifikowalności wydatków w ramach Europejskiego Funduszu Rozwoju Regionalnego, Europejskiego Funduszu Społecznego oraz Funduszu Spójności na lata 2014 – 2020. </w:t>
      </w:r>
    </w:p>
    <w:p w14:paraId="4E5845D8" w14:textId="5B526938" w:rsidR="006C3BD3" w:rsidRPr="00797985" w:rsidRDefault="006D2E83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  <w:r w:rsidRPr="00797985">
        <w:rPr>
          <w:rFonts w:asciiTheme="minorHAnsi" w:eastAsia="Calibri" w:hAnsiTheme="minorHAnsi"/>
          <w:sz w:val="22"/>
          <w:szCs w:val="22"/>
        </w:rPr>
        <w:t xml:space="preserve">W związku z powyższym, Zamawiający zwraca się z prośbą o oszacowanie wartości zamówienia opisanego w pkt </w:t>
      </w:r>
      <w:r w:rsidR="00AA3EA9" w:rsidRPr="00797985">
        <w:rPr>
          <w:rFonts w:asciiTheme="minorHAnsi" w:eastAsia="Calibri" w:hAnsiTheme="minorHAnsi"/>
          <w:sz w:val="22"/>
          <w:szCs w:val="22"/>
        </w:rPr>
        <w:t>2</w:t>
      </w:r>
      <w:r w:rsidRPr="00797985">
        <w:rPr>
          <w:rFonts w:asciiTheme="minorHAnsi" w:eastAsia="Calibri" w:hAnsiTheme="minorHAnsi"/>
          <w:sz w:val="22"/>
          <w:szCs w:val="22"/>
        </w:rPr>
        <w:t xml:space="preserve"> poniżej. </w:t>
      </w:r>
    </w:p>
    <w:p w14:paraId="341C9DC8" w14:textId="2B7C59DE" w:rsidR="006D2E83" w:rsidRPr="00797985" w:rsidRDefault="006D2E83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  <w:r w:rsidRPr="00797985">
        <w:rPr>
          <w:rFonts w:asciiTheme="minorHAnsi" w:eastAsia="Calibri" w:hAnsiTheme="minorHAnsi"/>
          <w:sz w:val="22"/>
          <w:szCs w:val="22"/>
        </w:rPr>
        <w:t>Niniejsza prośba nie stanowi procedury zasady konkurencyjności, a odpowiedź uzyskana przez Zamawiającego w procedurze szacowania nie będzie przez Zamawiającego traktowana jako oferta.</w:t>
      </w:r>
    </w:p>
    <w:p w14:paraId="06677486" w14:textId="77777777" w:rsidR="00A63999" w:rsidRPr="00797985" w:rsidRDefault="00A63999" w:rsidP="006D2E83">
      <w:pPr>
        <w:shd w:val="clear" w:color="auto" w:fill="FFFFFF"/>
        <w:rPr>
          <w:rFonts w:asciiTheme="minorHAnsi" w:eastAsia="Calibri" w:hAnsiTheme="minorHAnsi"/>
          <w:sz w:val="22"/>
          <w:szCs w:val="22"/>
        </w:rPr>
      </w:pPr>
    </w:p>
    <w:p w14:paraId="675A3BA3" w14:textId="326DE9D8" w:rsidR="00A63999" w:rsidRPr="00797985" w:rsidRDefault="00A63999" w:rsidP="002B2577">
      <w:pPr>
        <w:numPr>
          <w:ilvl w:val="0"/>
          <w:numId w:val="19"/>
        </w:numPr>
        <w:ind w:left="567" w:hanging="567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Zamawiający</w:t>
      </w:r>
    </w:p>
    <w:p w14:paraId="0BAEBE73" w14:textId="77777777" w:rsidR="00A63999" w:rsidRPr="00797985" w:rsidRDefault="00A63999" w:rsidP="002B2577">
      <w:pPr>
        <w:spacing w:after="24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797985">
        <w:rPr>
          <w:rFonts w:asciiTheme="minorHAnsi" w:hAnsiTheme="minorHAnsi" w:cs="Calibri"/>
          <w:b/>
          <w:sz w:val="22"/>
          <w:szCs w:val="22"/>
        </w:rPr>
        <w:t xml:space="preserve">Wyższa Szkoła Bankowa we Wrocławiu, </w:t>
      </w:r>
      <w:r w:rsidRPr="00797985">
        <w:rPr>
          <w:rFonts w:asciiTheme="minorHAnsi" w:hAnsiTheme="minorHAnsi" w:cs="Calibri"/>
          <w:sz w:val="22"/>
          <w:szCs w:val="22"/>
        </w:rPr>
        <w:t xml:space="preserve">ul. Fabryczna 29-31; 53-609 Wrocław, wpisana do Rejestru Uczelni Niepublicznych i Związków Uczelni Niepublicznych pod numerem 146, </w:t>
      </w:r>
    </w:p>
    <w:p w14:paraId="740E0D7C" w14:textId="77777777" w:rsidR="00A63999" w:rsidRPr="00797985" w:rsidRDefault="00A63999" w:rsidP="002B2577">
      <w:pPr>
        <w:jc w:val="both"/>
        <w:rPr>
          <w:rFonts w:asciiTheme="minorHAnsi" w:hAnsiTheme="minorHAnsi"/>
          <w:b/>
          <w:sz w:val="22"/>
          <w:szCs w:val="22"/>
        </w:rPr>
      </w:pPr>
    </w:p>
    <w:p w14:paraId="5A28410F" w14:textId="77777777" w:rsidR="00A63999" w:rsidRPr="00797985" w:rsidRDefault="00A63999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Opis przedmiotu zamówienia</w:t>
      </w:r>
    </w:p>
    <w:p w14:paraId="5554D5C2" w14:textId="77777777" w:rsidR="00A63999" w:rsidRPr="00797985" w:rsidRDefault="00A63999" w:rsidP="002B2577">
      <w:pPr>
        <w:pStyle w:val="Akapitzlist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Przedmiotem zamówienia jest wyłonienie Dostawcy w zakresie dostawy serwera do rozbudowy posiadanego środowiska VDI</w:t>
      </w:r>
    </w:p>
    <w:p w14:paraId="3299503D" w14:textId="77777777" w:rsidR="00A63999" w:rsidRPr="00797985" w:rsidRDefault="00A63999" w:rsidP="002B2577">
      <w:pPr>
        <w:pStyle w:val="Akapitzlist"/>
        <w:jc w:val="both"/>
        <w:rPr>
          <w:rFonts w:asciiTheme="minorHAnsi" w:hAnsiTheme="minorHAnsi"/>
          <w:b/>
          <w:sz w:val="22"/>
          <w:szCs w:val="22"/>
        </w:rPr>
      </w:pPr>
    </w:p>
    <w:p w14:paraId="3EA8090E" w14:textId="77777777" w:rsidR="00A63999" w:rsidRPr="00797985" w:rsidRDefault="00A63999" w:rsidP="002B2577">
      <w:pPr>
        <w:numPr>
          <w:ilvl w:val="1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 Cel zamówienia </w:t>
      </w:r>
    </w:p>
    <w:p w14:paraId="4F703035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Celem zamówienia jest rozbudowa posiadanego środowiska VDI, działającego w oparciu o rozwiązanie Vmware Horizon. Elementem zamówienia jest serwer wyposażony w kartę graficzną, umożliwiającą wirtualizację przetwarzania grafiki 2D oraz 3D w środowiskach VDI; kompatybilną z technologią NVIDIA GRID działającą obecnie w środowisku Zamawiającego.</w:t>
      </w:r>
    </w:p>
    <w:p w14:paraId="1DF63E18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Zamawiający oczekuje zachowania kompatybilności dostarczanego serwera wraz z posiadanym środowiskiem VDI Vmware Horizon. Aktualne środowisko zbudowane jest z:</w:t>
      </w:r>
    </w:p>
    <w:p w14:paraId="0AB8D439" w14:textId="77777777" w:rsidR="00A63999" w:rsidRPr="00797985" w:rsidRDefault="00A63999" w:rsidP="00874DED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4 serwerów klasy x86 (z czego 1 jest wyposażony w kartę GPU </w:t>
      </w:r>
      <w:proofErr w:type="spellStart"/>
      <w:r w:rsidRPr="00797985">
        <w:rPr>
          <w:rFonts w:asciiTheme="minorHAnsi" w:hAnsiTheme="minorHAnsi"/>
          <w:sz w:val="22"/>
          <w:szCs w:val="22"/>
        </w:rPr>
        <w:t>Nvidia</w:t>
      </w:r>
      <w:proofErr w:type="spellEnd"/>
      <w:r w:rsidRPr="00797985">
        <w:rPr>
          <w:rFonts w:asciiTheme="minorHAnsi" w:hAnsiTheme="minorHAnsi"/>
          <w:sz w:val="22"/>
          <w:szCs w:val="22"/>
        </w:rPr>
        <w:t xml:space="preserve"> Tesla M60)</w:t>
      </w:r>
    </w:p>
    <w:p w14:paraId="6FB23657" w14:textId="77777777" w:rsidR="00A63999" w:rsidRPr="00797985" w:rsidRDefault="00A63999" w:rsidP="00874DED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Przełączników </w:t>
      </w:r>
      <w:proofErr w:type="spellStart"/>
      <w:r w:rsidRPr="00797985">
        <w:rPr>
          <w:rFonts w:asciiTheme="minorHAnsi" w:hAnsiTheme="minorHAnsi"/>
          <w:sz w:val="22"/>
          <w:szCs w:val="22"/>
        </w:rPr>
        <w:t>Brocade</w:t>
      </w:r>
      <w:proofErr w:type="spellEnd"/>
      <w:r w:rsidRPr="00797985">
        <w:rPr>
          <w:rFonts w:asciiTheme="minorHAnsi" w:hAnsiTheme="minorHAnsi"/>
          <w:sz w:val="22"/>
          <w:szCs w:val="22"/>
        </w:rPr>
        <w:t xml:space="preserve"> SAN300B</w:t>
      </w:r>
    </w:p>
    <w:p w14:paraId="22DBAB2F" w14:textId="77777777" w:rsidR="00A63999" w:rsidRPr="00797985" w:rsidRDefault="00A63999" w:rsidP="00874DED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Przełączników LAN 10GB, CISCO</w:t>
      </w:r>
    </w:p>
    <w:p w14:paraId="6042DC0D" w14:textId="77777777" w:rsidR="00A63999" w:rsidRPr="00797985" w:rsidRDefault="00A63999" w:rsidP="00874DED">
      <w:pPr>
        <w:pStyle w:val="Akapitzlist"/>
        <w:numPr>
          <w:ilvl w:val="0"/>
          <w:numId w:val="33"/>
        </w:numPr>
        <w:spacing w:line="252" w:lineRule="auto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Macierzy </w:t>
      </w:r>
      <w:proofErr w:type="spellStart"/>
      <w:r w:rsidRPr="00797985">
        <w:rPr>
          <w:rFonts w:asciiTheme="minorHAnsi" w:hAnsiTheme="minorHAnsi"/>
          <w:sz w:val="22"/>
          <w:szCs w:val="22"/>
        </w:rPr>
        <w:t>Netapp</w:t>
      </w:r>
      <w:proofErr w:type="spellEnd"/>
      <w:r w:rsidRPr="00797985">
        <w:rPr>
          <w:rFonts w:asciiTheme="minorHAnsi" w:hAnsiTheme="minorHAnsi"/>
          <w:sz w:val="22"/>
          <w:szCs w:val="22"/>
        </w:rPr>
        <w:t xml:space="preserve"> </w:t>
      </w:r>
    </w:p>
    <w:p w14:paraId="0000BE7C" w14:textId="77777777" w:rsidR="00A63999" w:rsidRPr="00797985" w:rsidRDefault="00A63999" w:rsidP="002B2577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379853C5" w14:textId="77777777" w:rsidR="00A63999" w:rsidRPr="00797985" w:rsidRDefault="00A63999" w:rsidP="002B2577">
      <w:pPr>
        <w:numPr>
          <w:ilvl w:val="1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Przedmiot zamówienia  </w:t>
      </w:r>
    </w:p>
    <w:p w14:paraId="69D2734C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b/>
          <w:sz w:val="22"/>
          <w:szCs w:val="22"/>
          <w:highlight w:val="yellow"/>
        </w:rPr>
      </w:pPr>
    </w:p>
    <w:p w14:paraId="499E2438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 ramach dostawy Zamawiający oczekuje podłączenia, skonfigurowania oraz uruchomienia serwera do posiadanej infrastruktury wraz z wpięciem do klastra Vmware Horizon. Oferowany serwer będzie posiadał certyfikaty producenta. Dodatkowo Wykonawca dostarczy niezbędne okablowanie LAN/SAN.</w:t>
      </w:r>
    </w:p>
    <w:p w14:paraId="52E04A9D" w14:textId="77777777" w:rsidR="00A63999" w:rsidRPr="00797985" w:rsidRDefault="00A63999" w:rsidP="00A63999">
      <w:pPr>
        <w:rPr>
          <w:rFonts w:asciiTheme="minorHAnsi" w:hAnsiTheme="minorHAnsi"/>
          <w:sz w:val="22"/>
          <w:szCs w:val="22"/>
        </w:rPr>
      </w:pPr>
    </w:p>
    <w:p w14:paraId="019B53D0" w14:textId="77777777" w:rsidR="00A63999" w:rsidRPr="00797985" w:rsidRDefault="00A63999" w:rsidP="002B2577">
      <w:pPr>
        <w:spacing w:after="160" w:line="252" w:lineRule="auto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Charakterystyka Zamawianego serwera</w:t>
      </w:r>
    </w:p>
    <w:tbl>
      <w:tblPr>
        <w:tblW w:w="930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469"/>
      </w:tblGrid>
      <w:tr w:rsidR="00A63999" w:rsidRPr="00797985" w14:paraId="32736344" w14:textId="77777777" w:rsidTr="00640CF2"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EAFFD2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64EA0A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Charakterystyka (wymagania minimalne)</w:t>
            </w:r>
          </w:p>
        </w:tc>
      </w:tr>
      <w:tr w:rsidR="00A63999" w:rsidRPr="00797985" w14:paraId="59A0220D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3F52F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Obudowa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D1B883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Obudowa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Rack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 wysokości max 2U z możliwością instalacji 8 dysków 2,5”/3,5” lub 16 dysków 2.5” (SAS/SATA), wraz z </w:t>
            </w: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kompletem wysuwanych szyn umożliwiających montaż w szafie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rack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i wysuwanie serwera do celów serwisowych oraz z organizatorem do kabli. Obudowa z możliwością wyposażenia w </w:t>
            </w: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kartę umożliwiającą dostęp bezpośredni poprzez urządzenia mobilne - serwer musi posiadać możliwość konfiguracji oraz monitoringu najważniejszych komponentów serwera przy użyciu dedykowanej aplikacji mobilnej min. (Android/ Apple iOS) przy użyciu jednego z protokołów NFC/ BLE/ WIFI.</w:t>
            </w:r>
          </w:p>
        </w:tc>
      </w:tr>
      <w:tr w:rsidR="00A63999" w:rsidRPr="00797985" w14:paraId="45B45746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4729DB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Płyta główna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1DAE4C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Płyta główna z możliwością zainstalowania do dwóch fizycznych procesorów. Płyta główna musi być zaprojektowana przez producenta serwera i oznaczona jego znakiem firmowym.</w:t>
            </w:r>
          </w:p>
        </w:tc>
      </w:tr>
      <w:tr w:rsidR="00A63999" w:rsidRPr="00797985" w14:paraId="6098889B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850514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Procesor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09247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Zainstalowane dwa procesory dwunastordzeniowe x86 dedykowane do pracy z zaoferowanym serwerem umożliwiające osiągnięcie wyniku min. 1280 punktów w teście SPECint_rate_base2006 dostępnym na stronie www.spec.org dla dwóch procesorów.</w:t>
            </w:r>
          </w:p>
        </w:tc>
      </w:tr>
      <w:tr w:rsidR="00A63999" w:rsidRPr="00797985" w14:paraId="70848466" w14:textId="77777777" w:rsidTr="00640CF2">
        <w:trPr>
          <w:trHeight w:val="845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BD81D7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RAM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2B05A6" w14:textId="77777777" w:rsidR="00A63999" w:rsidRPr="00797985" w:rsidRDefault="00A63999" w:rsidP="00640C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512GB DDR4 RDIMM 2666MT/s, na płycie głównej powinno znajdować się minimum 8 wolnych slotów przeznaczonych do rozbudowy pamięci. Płyta główna powinna obsługiwać do min. 1.5TB pamięci RAM. Pamięci muszą być oryginalne (pochodzić od producenta serwera). Nie dopuszcza się zamienników.</w:t>
            </w:r>
          </w:p>
        </w:tc>
      </w:tr>
      <w:tr w:rsidR="00A63999" w:rsidRPr="00564450" w14:paraId="5823A913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827C1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Zabezpieczenia pamięci RAM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9E3C4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985">
              <w:rPr>
                <w:rFonts w:asciiTheme="minorHAnsi" w:hAnsiTheme="minorHAnsi"/>
                <w:sz w:val="22"/>
                <w:szCs w:val="22"/>
                <w:lang w:val="en-US"/>
              </w:rPr>
              <w:t>Memory Rank Sparing, Memory Mirror, Failed DIMM isolation.</w:t>
            </w:r>
          </w:p>
        </w:tc>
      </w:tr>
      <w:tr w:rsidR="00A63999" w:rsidRPr="00797985" w14:paraId="5AC020F5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1A13B1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Gniazda PCI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726CAD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Min. 7 slotów generacji 3 w tym min. dwa pełnej długości i wysokości.</w:t>
            </w:r>
          </w:p>
        </w:tc>
      </w:tr>
      <w:tr w:rsidR="00A63999" w:rsidRPr="00797985" w14:paraId="3AE1CD2C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BD375D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Interfejsy sieciowe/FC/SAS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1B4E3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Wbudowane dwa interfejsy sieciowe 1Gb Ethernet w standardzie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oraz dwa interfejsy sieciowe 10Gb Ethernet ze złączami w standardzie SFP+.</w:t>
            </w:r>
          </w:p>
          <w:p w14:paraId="49855AF4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instalacji wymiennie modułów udostępniających: </w:t>
            </w:r>
          </w:p>
          <w:p w14:paraId="1BFF3176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- cztery interfejsy sieciowe 10Gb Ethernet w standardzie SFP+,</w:t>
            </w:r>
          </w:p>
          <w:p w14:paraId="28194825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cztery interfejsy sieciowe 1Gb Ethernet w standardzie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14:paraId="6CF189D5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- dwa interfejsy sieciowe 1Gb Ethernet w standardzie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oraz dwa interfejsy sieciowe 10Gb Ethernet ze złączami w standardzie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BaseT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,</w:t>
            </w:r>
          </w:p>
          <w:p w14:paraId="09419AC8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- cztery interfejsy sieciowe 10Gb Ethernet w standardzie Base-T,</w:t>
            </w:r>
          </w:p>
          <w:p w14:paraId="34DB9B70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- dwa interfejsy sieciowe 25Gb Ethernet ze złączami SFP28.</w:t>
            </w:r>
          </w:p>
          <w:p w14:paraId="67E6D4AD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Dodatkowo zainstalowana karta HBA FC dwuportowa min. 8Gb</w:t>
            </w:r>
          </w:p>
          <w:p w14:paraId="1D79EB82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Dołączone 4 moduły SFP+ (10GB SR)</w:t>
            </w:r>
          </w:p>
          <w:p w14:paraId="694C9AF6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Dołączone 4 moduły FC 8GB</w:t>
            </w:r>
          </w:p>
        </w:tc>
      </w:tr>
      <w:tr w:rsidR="00A63999" w:rsidRPr="00797985" w14:paraId="6A8C52F6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8E9DA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Napęd optyczny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801402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Brak</w:t>
            </w:r>
          </w:p>
        </w:tc>
      </w:tr>
      <w:tr w:rsidR="00A63999" w:rsidRPr="00797985" w14:paraId="118DE387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579716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Karta GPU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BFA29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Karta umożliwiająca wirtualizację przetwarzania grafiki 2D oraz 3D w środowiskach VDI. Kompatybilna z technologią NVIDIA GRID działającą obecnie w środowisku Zamawiającego.</w:t>
            </w:r>
          </w:p>
          <w:p w14:paraId="30C8E890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Kompatybilność ze środowiskiem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VMware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Horizon w wersji 7</w:t>
            </w:r>
          </w:p>
          <w:p w14:paraId="268EA4D8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Minimum 2 procesory, minimum 4096 rdzeni łącznie, minimum 16 GB RAM</w:t>
            </w:r>
          </w:p>
          <w:p w14:paraId="4956C5B7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Obsługa co najmniej 32 użytkowników w trybie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vGPU</w:t>
            </w:r>
            <w:proofErr w:type="spellEnd"/>
          </w:p>
          <w:p w14:paraId="20EBCFC1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Oferowana karta musi umożliwiać stworzenie klastra HA z obecnie działającym serwerem w wyposażonym w kartę NVIDIA M60, w tym umożliwiać Live Migration maszyn wirtualnych z przypiętymi z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wirtualizowanymi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kartami graficznymi. Stworzony klastrem musi umożliwiać tworzenie maszyn wirtualnych VDI w środowisku Horizon 7 z jednolitym profilem wirtualnej karty sieciowej w technologii NVIDIA GRID</w:t>
            </w:r>
          </w:p>
        </w:tc>
      </w:tr>
      <w:tr w:rsidR="00A63999" w:rsidRPr="00797985" w14:paraId="2837DFA8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E5F4E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Dyski twarde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7ADBB9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Możliwość instalacji dysków SATA, SAS, SSD, SED.</w:t>
            </w:r>
          </w:p>
          <w:p w14:paraId="0A4C1E61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Minimum jeden dysk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NVMe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na złączy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PCIe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pojemności minimum 400GB</w:t>
            </w:r>
          </w:p>
          <w:p w14:paraId="25361E5F" w14:textId="77777777" w:rsidR="00A63999" w:rsidRPr="00797985" w:rsidRDefault="00A63999" w:rsidP="00640CF2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</w:pPr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Zainstalowany dedykowany moduł dla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hypervisora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wirtualizacyjnego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, wyposażony w dwa nośniki typu </w:t>
            </w:r>
            <w:proofErr w:type="spellStart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>flash</w:t>
            </w:r>
            <w:proofErr w:type="spellEnd"/>
            <w:r w:rsidRPr="00797985">
              <w:rPr>
                <w:rFonts w:asciiTheme="minorHAnsi" w:eastAsia="Times New Roman" w:hAnsiTheme="minorHAnsi" w:cs="Calibri"/>
                <w:color w:val="000000"/>
                <w:sz w:val="22"/>
                <w:szCs w:val="22"/>
              </w:rPr>
              <w:t xml:space="preserve"> o pojemności min. 16GB, z możliwością konfiguracji zabezpieczenia synchronizacji pomiędzy nośnikami z poziomu BIOS serwera, rozwiązanie nie może powodować zmniejszenia ilości wnęk na dyski twarde.</w:t>
            </w:r>
          </w:p>
        </w:tc>
      </w:tr>
      <w:tr w:rsidR="00A63999" w:rsidRPr="00797985" w14:paraId="236D7BB4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8BEBE7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Kontroler RAID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E5B56A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Wbudowany SATA</w:t>
            </w:r>
          </w:p>
        </w:tc>
      </w:tr>
      <w:tr w:rsidR="00A63999" w:rsidRPr="00797985" w14:paraId="037B4E51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2F6ADA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Wbudowane porty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30B74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5xUSB, min. 2 port USB 2.0 oraz 3 porty USB 3.0, 4 porty RJ45, 2 porty VGA (1 na przednim panelu obudowy, drugi na tylnym), min. 1 port RS232</w:t>
            </w:r>
          </w:p>
        </w:tc>
      </w:tr>
      <w:tr w:rsidR="00A63999" w:rsidRPr="00797985" w14:paraId="61734ED1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81F7E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Video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75CE2BE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Zintegrowana karta graficzna umożliwiająca wyświetlanie obrazu o rozdzielczości 1920x1200.</w:t>
            </w:r>
          </w:p>
        </w:tc>
      </w:tr>
      <w:tr w:rsidR="00A63999" w:rsidRPr="00797985" w14:paraId="5618629B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A37FD2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Wentylatory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6B513C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Redundantne, możliwość rozbudowy do 6 wentylatorów.</w:t>
            </w:r>
          </w:p>
        </w:tc>
      </w:tr>
      <w:tr w:rsidR="00A63999" w:rsidRPr="00797985" w14:paraId="57DC3BE4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8BBF29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Zasilacze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313C1F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Redundantne o mocy min. 1100W.</w:t>
            </w:r>
          </w:p>
        </w:tc>
      </w:tr>
      <w:tr w:rsidR="00A63999" w:rsidRPr="00797985" w14:paraId="0D7F9917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27BDF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Bezpieczeństwo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86FAAC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Możliwość zintegrowanego z płytą główną modułu TPM.</w:t>
            </w:r>
          </w:p>
          <w:p w14:paraId="484B5819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 xml:space="preserve">Zatrzask górnej pokrywy oraz blokada na ramce panelu zamykana na klucz służąca do ochrony nieautoryzowanego dostępu do dysków twardych. </w:t>
            </w: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wyłączenia w BIOS funkcji przycisku zasilania. </w:t>
            </w:r>
            <w:r w:rsidRPr="00797985">
              <w:rPr>
                <w:rFonts w:asciiTheme="minorHAnsi" w:hAnsiTheme="minorHAnsi"/>
                <w:sz w:val="22"/>
                <w:szCs w:val="22"/>
              </w:rPr>
              <w:t>BIOS ma możliwość przejścia do bezpiecznego trybu rozruchowego z możliwością zarządzania blokadą zasilania, panelem sterowania oraz zmianą hasła. Wbudowany czujnik otwarcia obudowy współpracujący z BIOS i kartą zarządzającą.</w:t>
            </w:r>
          </w:p>
        </w:tc>
      </w:tr>
      <w:tr w:rsidR="00A63999" w:rsidRPr="00564450" w14:paraId="7ECA0654" w14:textId="77777777" w:rsidTr="00640CF2">
        <w:trPr>
          <w:trHeight w:val="1438"/>
        </w:trPr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20D14F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Wspierane systemy operacyjne 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AA841" w14:textId="77777777" w:rsidR="00A63999" w:rsidRPr="00797985" w:rsidRDefault="00A63999" w:rsidP="00640CF2">
            <w:pPr>
              <w:autoSpaceDE w:val="0"/>
              <w:autoSpaceDN w:val="0"/>
              <w:spacing w:before="40" w:after="4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Citrix® </w:t>
            </w:r>
            <w:proofErr w:type="spellStart"/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XenServer</w:t>
            </w:r>
            <w:proofErr w:type="spellEnd"/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® </w:t>
            </w:r>
            <w:r w:rsidRPr="00797985">
              <w:rPr>
                <w:rFonts w:asciiTheme="minorHAnsi" w:eastAsia="MingLiU" w:hAnsiTheme="minorHAnsi" w:cs="MingLiU"/>
                <w:sz w:val="22"/>
                <w:szCs w:val="22"/>
                <w:lang w:val="en-US"/>
              </w:rPr>
              <w:br/>
            </w:r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Microsoft Windows Server® with Hyper-V </w:t>
            </w:r>
            <w:r w:rsidRPr="00797985">
              <w:rPr>
                <w:rFonts w:asciiTheme="minorHAnsi" w:eastAsia="MingLiU" w:hAnsiTheme="minorHAnsi" w:cs="MingLiU"/>
                <w:sz w:val="22"/>
                <w:szCs w:val="22"/>
                <w:lang w:val="en-US"/>
              </w:rPr>
              <w:br/>
            </w:r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Red Hat® Enterprise Linux</w:t>
            </w:r>
          </w:p>
          <w:p w14:paraId="2CE59676" w14:textId="77777777" w:rsidR="00A63999" w:rsidRPr="00797985" w:rsidRDefault="00A63999" w:rsidP="00640CF2">
            <w:pPr>
              <w:autoSpaceDE w:val="0"/>
              <w:autoSpaceDN w:val="0"/>
              <w:spacing w:before="40" w:after="4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SUSE® Linux Enterprise Server </w:t>
            </w:r>
            <w:r w:rsidRPr="00797985">
              <w:rPr>
                <w:rFonts w:asciiTheme="minorHAnsi" w:eastAsia="MingLiU" w:hAnsiTheme="minorHAnsi" w:cs="MingLiU"/>
                <w:sz w:val="22"/>
                <w:szCs w:val="22"/>
                <w:lang w:val="en-US"/>
              </w:rPr>
              <w:br/>
            </w:r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VMware® </w:t>
            </w:r>
            <w:proofErr w:type="spellStart"/>
            <w:r w:rsidRPr="00797985">
              <w:rPr>
                <w:rFonts w:asciiTheme="minorHAnsi" w:hAnsiTheme="minorHAnsi" w:cs="Calibri"/>
                <w:sz w:val="22"/>
                <w:szCs w:val="22"/>
                <w:lang w:val="en-US"/>
              </w:rPr>
              <w:t>ESXi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63999" w:rsidRPr="00797985" w14:paraId="181113FF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61C013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Diagnostyka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2609B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 xml:space="preserve">Możliwość instalacji panelu LCD/diod LED na froncie obudowy wyświetlającego informacje o stanie procesora, pamięci, dysków, </w:t>
            </w:r>
            <w:proofErr w:type="spellStart"/>
            <w:r w:rsidRPr="00797985">
              <w:rPr>
                <w:rFonts w:asciiTheme="minorHAnsi" w:hAnsiTheme="minorHAnsi"/>
                <w:sz w:val="22"/>
                <w:szCs w:val="22"/>
              </w:rPr>
              <w:t>BIOS’u</w:t>
            </w:r>
            <w:proofErr w:type="spellEnd"/>
            <w:r w:rsidRPr="00797985">
              <w:rPr>
                <w:rFonts w:asciiTheme="minorHAnsi" w:hAnsiTheme="minorHAnsi"/>
                <w:sz w:val="22"/>
                <w:szCs w:val="22"/>
              </w:rPr>
              <w:t>, zasilaniu oraz temperaturze.</w:t>
            </w:r>
          </w:p>
        </w:tc>
      </w:tr>
      <w:tr w:rsidR="00A63999" w:rsidRPr="00797985" w14:paraId="4A7F3BED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8D083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highlight w:val="yellow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Karta Zarządzania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A4183E" w14:textId="77777777" w:rsidR="00A63999" w:rsidRPr="00797985" w:rsidRDefault="00A63999" w:rsidP="00640CF2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Niezależna od zainstalowanego na serwerze systemu operacyjnego posiadająca dedykowane port RJ-45 Gigabit Ethernet umożliwiająca:</w:t>
            </w:r>
          </w:p>
          <w:p w14:paraId="0A42D686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zdalny dostęp do graficznego interfejsu Web karty zarządzającej</w:t>
            </w:r>
          </w:p>
          <w:p w14:paraId="412C778B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zdalne monitorowanie i informowanie o statusie serwera (m.in. prędkości obrotowej wentylatorów, konfiguracji serwera)</w:t>
            </w:r>
          </w:p>
          <w:p w14:paraId="61F2F76B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szyfrowane połączenie (SSLv3) oraz autentykacje i autoryzację użytkownika</w:t>
            </w:r>
          </w:p>
          <w:p w14:paraId="410AC19A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podmontowania zdalnych wirtualnych napędów</w:t>
            </w:r>
          </w:p>
          <w:p w14:paraId="54B202D7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wirtualną konsolę graficzną z dostępem do myszy, klawiatury</w:t>
            </w:r>
          </w:p>
          <w:p w14:paraId="4C23E066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wsparcie dla IPv6</w:t>
            </w:r>
          </w:p>
          <w:p w14:paraId="17649148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wsparcie dla SNMP; IPMI2.0, VLAN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tagging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, Telnet, SSH</w:t>
            </w:r>
          </w:p>
          <w:p w14:paraId="08264409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zdalnego monitorowania w czasie rzeczywistym poboru prądu przez serwer</w:t>
            </w:r>
          </w:p>
          <w:p w14:paraId="3F0CCEAF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zdalnego ustawienia limitu poboru prądu przez konkretny serwer</w:t>
            </w:r>
          </w:p>
          <w:p w14:paraId="6961D900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integracja z Active Directory</w:t>
            </w:r>
          </w:p>
          <w:p w14:paraId="69CED580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obsługi przez dwóch administratorów jednocześnie</w:t>
            </w:r>
          </w:p>
          <w:p w14:paraId="3EE17D0C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wsparcie dla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dynamic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DNS</w:t>
            </w:r>
          </w:p>
          <w:p w14:paraId="6B86FE43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wysyłanie do administratora maila z powiadomieniem o awarii lub zmianie konfiguracji sprzętowej</w:t>
            </w:r>
          </w:p>
          <w:p w14:paraId="34D5466E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podłączenia lokalnego poprzez złącze RS-232.</w:t>
            </w:r>
          </w:p>
          <w:p w14:paraId="74FBA7A0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Producent systemu musi posiadać dedykowane rozwiązanie które będzie przeciwdziałało automatycznym skryptom konfiguracyjnym działającym w sieci. Jest niedopuszczalne aby konsole zarządzające serwerów miały identyczne dane dostępowe. </w:t>
            </w:r>
          </w:p>
          <w:p w14:paraId="755A91C5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zarządzania bezpośredniego poprzez złącze USB umieszczone na froncie obudowy.</w:t>
            </w:r>
          </w:p>
          <w:p w14:paraId="2E971B18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konfiguracji przepływu powietrza na każdym slocie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PCIe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, jak również musi posiadać możliwość konfiguracji wyłączania lub włączania poszczególnych wentylatorów.</w:t>
            </w:r>
          </w:p>
          <w:p w14:paraId="75F72A2D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możliwość zablokowania konfiguracji oraz odnowienia oprogramowania  karty zarządzającej poprzez jednego z administratorów. Podczas trwania blokady musi być ona wyświetlana dla wszystkich administratorów którzy obecnie korzystają z karty.</w:t>
            </w:r>
          </w:p>
          <w:p w14:paraId="261A04F9" w14:textId="77777777" w:rsidR="00A63999" w:rsidRPr="00797985" w:rsidRDefault="00A63999" w:rsidP="00640CF2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  <w:p w14:paraId="4F3D8B6A" w14:textId="77777777" w:rsidR="00A63999" w:rsidRPr="00797985" w:rsidRDefault="00A63999" w:rsidP="00640CF2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Dodatkowe oprogramowanie umożliwiające zarządzanie poprzez sieć, spełniające minimalne wymagania:</w:t>
            </w:r>
          </w:p>
          <w:p w14:paraId="071A3BE0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Wsparcie dla serwerów, urządzeń sieciowych oraz pamięci masowych</w:t>
            </w:r>
          </w:p>
          <w:p w14:paraId="1477B61A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zarządzania dostarczonymi serwerami bez udziału dedykowanego agenta</w:t>
            </w:r>
          </w:p>
          <w:p w14:paraId="4F91BFFD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Wsparcie dla protokołów– WMI, SNMP, IPMI, , Linux SSH</w:t>
            </w:r>
          </w:p>
          <w:p w14:paraId="257F1DC2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Możliwość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oskryptowywania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procesu wykrywania urządzeń</w:t>
            </w:r>
          </w:p>
          <w:p w14:paraId="18A574F2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uruchamiania procesu wykrywania urządzeń w oparciu o harmonogram</w:t>
            </w:r>
          </w:p>
          <w:p w14:paraId="1E8416BF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Szczegółowy opis wykrytych systemów oraz ich komponentów</w:t>
            </w:r>
          </w:p>
          <w:p w14:paraId="4C696505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eksportu raportu do CSV, HTML, XLS</w:t>
            </w:r>
          </w:p>
          <w:p w14:paraId="02553D2C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Grupowanie urządzeń w oparciu o kryteria użytkownika</w:t>
            </w:r>
          </w:p>
          <w:p w14:paraId="1B1877FC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uruchamiania narzędzi zarządzających w poszczególnych urządzeniach</w:t>
            </w:r>
          </w:p>
          <w:p w14:paraId="14BFBE77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Automatyczne skrypty CLI umożliwiające dodawanie i edycję grup urządzeń</w:t>
            </w:r>
          </w:p>
          <w:p w14:paraId="1AFAA364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Szybki podgląd stanu środowiska</w:t>
            </w:r>
          </w:p>
          <w:p w14:paraId="1C5AE3BC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Podsumowanie stanu dla każdego urządzenia</w:t>
            </w:r>
          </w:p>
          <w:p w14:paraId="65DF63CF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Szczegółowy status urządzenia/elementu/komponentu</w:t>
            </w:r>
          </w:p>
          <w:p w14:paraId="4604E519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Generowanie alertów przy zmianie stanu urządzenia</w:t>
            </w:r>
          </w:p>
          <w:p w14:paraId="44D5D54F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Filtry raportów umożliwiające podgląd najważniejszych zdarzeń</w:t>
            </w:r>
          </w:p>
          <w:p w14:paraId="5A6520BF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Integracja z service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desk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producenta dostarczonej platformy sprzętowej </w:t>
            </w:r>
          </w:p>
          <w:p w14:paraId="74A6328C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przejęcia zdalnego pulpitu</w:t>
            </w:r>
          </w:p>
          <w:p w14:paraId="26EE2C08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Możliwość podmontowania wirtualnego napędu</w:t>
            </w:r>
          </w:p>
          <w:p w14:paraId="1A1BFC76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Automatyczne zaplanowanie akcji dla poszczególnych alertów w tym automatyczne tworzenie zgłoszeń serwisowych w oparciu o standardy przyjęte przez producentów oferowanego w tym postępowaniu sprzętu</w:t>
            </w:r>
          </w:p>
          <w:p w14:paraId="3EB0EE45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Kreator umożliwiający dostosowanie akcji dla wybranych alertów</w:t>
            </w:r>
          </w:p>
          <w:p w14:paraId="24B197C6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Możliwość importu plików MIB </w:t>
            </w:r>
          </w:p>
          <w:p w14:paraId="4C183E14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Przesyłanie alertów „as-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is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” do innych konsol firm trzecich</w:t>
            </w:r>
          </w:p>
          <w:p w14:paraId="5912531D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definiowania ról administratorów</w:t>
            </w:r>
          </w:p>
          <w:p w14:paraId="2F0B752D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zdalnej aktualizacji sterowników i oprogramowania wewnętrznego serwerów</w:t>
            </w:r>
          </w:p>
          <w:p w14:paraId="659AF991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Aktualizacja oparta o wybranie źródła bibliotek (lokalna, on-line producenta oferowanego rozwiązania)</w:t>
            </w:r>
          </w:p>
          <w:p w14:paraId="05650EB0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instalacji sterowników i oprogramowania wewnętrznego bez potrzeby instalacji agenta</w:t>
            </w:r>
          </w:p>
          <w:p w14:paraId="10F135B4" w14:textId="77777777" w:rsidR="00A63999" w:rsidRPr="00797985" w:rsidRDefault="00A63999" w:rsidP="00A63999">
            <w:pPr>
              <w:numPr>
                <w:ilvl w:val="0"/>
                <w:numId w:val="16"/>
              </w:num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Możliwość automatycznego generowania i zgłaszania incydentów awarii bezpośrednio do centrum serwisowego producenta serwerów</w:t>
            </w:r>
          </w:p>
          <w:p w14:paraId="10A603F9" w14:textId="77777777" w:rsidR="00A63999" w:rsidRPr="00797985" w:rsidRDefault="00A63999" w:rsidP="00A63999">
            <w:pPr>
              <w:numPr>
                <w:ilvl w:val="0"/>
                <w:numId w:val="17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Moduł raportujący pozwalający na wygenerowanie następujących informacji: nr seryjne sprzętu, konfiguracja poszczególnych urządzeń, wersje oprogramowania wewnętrznego, obsadzenie slotów PCI i gniazd pamięci, informację o maszynach wirtualnych, aktualne informacje o stanie gwarancji, adresy IP kart sieciowych</w:t>
            </w:r>
          </w:p>
          <w:p w14:paraId="4BF3292B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Możliwość automatycznego przywracania ustawień serwera, kart sieciowych, BIOS, wersji </w:t>
            </w:r>
            <w:proofErr w:type="spellStart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firmware</w:t>
            </w:r>
            <w:proofErr w:type="spellEnd"/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 xml:space="preserve"> w przypadku awarii i wymiany któregoś z komponentów (w tym kontrolera RAID, kart sieciowych, płyty głównej).</w:t>
            </w:r>
          </w:p>
        </w:tc>
      </w:tr>
      <w:tr w:rsidR="00A63999" w:rsidRPr="00797985" w14:paraId="1A634CEE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ABCC1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Okablowanie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9800CC" w14:textId="77777777" w:rsidR="00A63999" w:rsidRPr="00797985" w:rsidRDefault="00A63999" w:rsidP="00640CF2">
            <w:pPr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 w:cs="Segoe UI"/>
                <w:color w:val="000000"/>
                <w:sz w:val="22"/>
                <w:szCs w:val="22"/>
              </w:rPr>
              <w:t>Typu LAN/SAN</w:t>
            </w:r>
          </w:p>
        </w:tc>
      </w:tr>
      <w:tr w:rsidR="00A63999" w:rsidRPr="00797985" w14:paraId="0E537B7B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8B107D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Certyfikaty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0476EE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ISO-9001:2008 oraz ISO-14001. Deklaracja CE.</w:t>
            </w: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br/>
              <w:t xml:space="preserve">Serwer znajduje się na liście Windows Server 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Catalog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 posiada status „</w:t>
            </w:r>
            <w:proofErr w:type="spellStart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>Certified</w:t>
            </w:r>
            <w:proofErr w:type="spellEnd"/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Windows” dla systemów Windows: Microsoft Windows 2012, Microsoft Windows 2012 R2, Windows Server 2016.</w:t>
            </w:r>
          </w:p>
        </w:tc>
      </w:tr>
      <w:tr w:rsidR="00A63999" w:rsidRPr="00797985" w14:paraId="3A2F368B" w14:textId="77777777" w:rsidTr="00640CF2">
        <w:tc>
          <w:tcPr>
            <w:tcW w:w="18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4CA31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Warunki gwarancji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D8F98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Min. trzy lata gwarancji realizowanej w miejscu instalacji sprzętu, z czasem reakcji do następnego dnia roboczego od przyjęcia zgłoszenia, możliwość zgłaszania awarii w trybie 365x7x24 poprzez ogólnopolską linię telefoniczną producenta. </w:t>
            </w:r>
          </w:p>
          <w:p w14:paraId="383A933C" w14:textId="77777777" w:rsidR="00A63999" w:rsidRPr="00797985" w:rsidRDefault="00A63999" w:rsidP="00640CF2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Możliwość rozszerzenia gwarancji przez producenta do siedmiu lat. </w:t>
            </w:r>
          </w:p>
        </w:tc>
      </w:tr>
      <w:tr w:rsidR="00A63999" w:rsidRPr="00797985" w14:paraId="422FF6E3" w14:textId="77777777" w:rsidTr="00640CF2"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4C52DB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Dokumentacja 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1365AA" w14:textId="77777777" w:rsidR="00A63999" w:rsidRPr="00797985" w:rsidRDefault="00A63999" w:rsidP="00640CF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</w:tr>
      <w:tr w:rsidR="00A63999" w:rsidRPr="00797985" w14:paraId="1F14BEC6" w14:textId="77777777" w:rsidTr="00640CF2">
        <w:tc>
          <w:tcPr>
            <w:tcW w:w="1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F2AEC" w14:textId="77777777" w:rsidR="00A63999" w:rsidRPr="00797985" w:rsidRDefault="00A63999" w:rsidP="00640CF2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Dostawa</w:t>
            </w:r>
          </w:p>
        </w:tc>
        <w:tc>
          <w:tcPr>
            <w:tcW w:w="7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E6C03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Serwer musi być fabrycznie nowy tj. nie może być wyprodukowany wcześniej niż pół roku przed datą dostawy  oraz musi pochodzić z oficjalnego kanału dystrybucji na terenie Polski</w:t>
            </w:r>
          </w:p>
          <w:p w14:paraId="3F42857C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Maksymalny termin dostawy do 21 dni od daty podpisania umowy.</w:t>
            </w:r>
          </w:p>
          <w:p w14:paraId="7607AA14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>Dostawa obejmuje także podłączenie, skonfigurowanie oraz uruchomienie serwera w ramach posiadanej przez Zamawiającego infrastruktury wraz z wpięciem do klastra Vmware Horizon</w:t>
            </w:r>
          </w:p>
        </w:tc>
      </w:tr>
    </w:tbl>
    <w:p w14:paraId="79E76EFE" w14:textId="77777777" w:rsidR="00A63999" w:rsidRPr="00797985" w:rsidRDefault="00A63999" w:rsidP="00A63999">
      <w:pPr>
        <w:rPr>
          <w:rFonts w:asciiTheme="minorHAnsi" w:hAnsiTheme="minorHAnsi"/>
          <w:sz w:val="22"/>
          <w:szCs w:val="22"/>
        </w:rPr>
      </w:pPr>
    </w:p>
    <w:p w14:paraId="3E9A07E6" w14:textId="77777777" w:rsidR="00A63999" w:rsidRPr="00797985" w:rsidRDefault="00A63999" w:rsidP="002B2577">
      <w:pPr>
        <w:spacing w:after="160" w:line="252" w:lineRule="auto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Zamawiane licencje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7212"/>
      </w:tblGrid>
      <w:tr w:rsidR="00A63999" w:rsidRPr="00797985" w14:paraId="0E03739F" w14:textId="77777777" w:rsidTr="002B2577">
        <w:tc>
          <w:tcPr>
            <w:tcW w:w="10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DE5B0" w14:textId="77777777" w:rsidR="00A63999" w:rsidRPr="00797985" w:rsidRDefault="00A63999" w:rsidP="00640CF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Parametr</w:t>
            </w:r>
          </w:p>
        </w:tc>
        <w:tc>
          <w:tcPr>
            <w:tcW w:w="39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15054" w14:textId="77777777" w:rsidR="00A63999" w:rsidRPr="00797985" w:rsidRDefault="00A63999" w:rsidP="00640CF2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Charakterystyka (wymagania minimalne)</w:t>
            </w:r>
          </w:p>
        </w:tc>
      </w:tr>
      <w:tr w:rsidR="00A63999" w:rsidRPr="00797985" w14:paraId="36D992E8" w14:textId="77777777" w:rsidTr="002B2577">
        <w:tc>
          <w:tcPr>
            <w:tcW w:w="10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74AB8" w14:textId="77777777" w:rsidR="00A63999" w:rsidRPr="00797985" w:rsidRDefault="00A63999" w:rsidP="00640CF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97985">
              <w:rPr>
                <w:rFonts w:asciiTheme="minorHAnsi" w:hAnsiTheme="minorHAnsi"/>
                <w:b/>
                <w:bCs/>
                <w:sz w:val="22"/>
                <w:szCs w:val="22"/>
              </w:rPr>
              <w:t>Licencja GRID</w:t>
            </w:r>
          </w:p>
        </w:tc>
        <w:tc>
          <w:tcPr>
            <w:tcW w:w="39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A31E9" w14:textId="77777777" w:rsidR="00A63999" w:rsidRPr="00797985" w:rsidRDefault="00A63999" w:rsidP="00640CF2">
            <w:pPr>
              <w:rPr>
                <w:rFonts w:asciiTheme="minorHAnsi" w:hAnsiTheme="minorHAnsi"/>
                <w:sz w:val="22"/>
                <w:szCs w:val="22"/>
              </w:rPr>
            </w:pPr>
            <w:r w:rsidRPr="00797985">
              <w:rPr>
                <w:rFonts w:asciiTheme="minorHAnsi" w:hAnsiTheme="minorHAnsi"/>
                <w:sz w:val="22"/>
                <w:szCs w:val="22"/>
              </w:rPr>
              <w:t xml:space="preserve">Licencja bezterminowa GRID </w:t>
            </w:r>
            <w:proofErr w:type="spellStart"/>
            <w:r w:rsidRPr="00797985">
              <w:rPr>
                <w:rFonts w:asciiTheme="minorHAnsi" w:hAnsiTheme="minorHAnsi"/>
                <w:sz w:val="22"/>
                <w:szCs w:val="22"/>
              </w:rPr>
              <w:t>virtual</w:t>
            </w:r>
            <w:proofErr w:type="spellEnd"/>
            <w:r w:rsidRPr="00797985">
              <w:rPr>
                <w:rFonts w:asciiTheme="minorHAnsi" w:hAnsiTheme="minorHAnsi"/>
                <w:sz w:val="22"/>
                <w:szCs w:val="22"/>
              </w:rPr>
              <w:t xml:space="preserve"> PC wraz z rocznym wsparciem technicznym oraz aktualizacją oprogramowania – 26 szt.</w:t>
            </w:r>
          </w:p>
        </w:tc>
      </w:tr>
    </w:tbl>
    <w:p w14:paraId="53E5B143" w14:textId="77777777" w:rsidR="00A63999" w:rsidRPr="00797985" w:rsidRDefault="00A63999" w:rsidP="00A63999">
      <w:pPr>
        <w:rPr>
          <w:rFonts w:asciiTheme="minorHAnsi" w:hAnsiTheme="minorHAnsi" w:cs="Calibri"/>
          <w:b/>
          <w:sz w:val="22"/>
          <w:szCs w:val="22"/>
          <w:highlight w:val="yellow"/>
        </w:rPr>
      </w:pPr>
    </w:p>
    <w:p w14:paraId="2DCE2F28" w14:textId="77777777" w:rsidR="00A63999" w:rsidRPr="00797985" w:rsidRDefault="00A63999" w:rsidP="00A63999">
      <w:pPr>
        <w:numPr>
          <w:ilvl w:val="1"/>
          <w:numId w:val="19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797985">
        <w:rPr>
          <w:rFonts w:asciiTheme="minorHAnsi" w:hAnsiTheme="minorHAnsi" w:cs="Calibri"/>
          <w:b/>
          <w:sz w:val="22"/>
          <w:szCs w:val="22"/>
        </w:rPr>
        <w:t>Zasady ustalania wynagrodzenia za wykonanie przedmiotu zamówienia</w:t>
      </w:r>
    </w:p>
    <w:p w14:paraId="59F3E6E0" w14:textId="77777777" w:rsidR="00A63999" w:rsidRPr="00797985" w:rsidRDefault="00A63999" w:rsidP="00A63999">
      <w:pPr>
        <w:ind w:left="567"/>
        <w:jc w:val="both"/>
        <w:rPr>
          <w:rFonts w:asciiTheme="minorHAnsi" w:hAnsiTheme="minorHAnsi" w:cs="Arial"/>
          <w:sz w:val="22"/>
          <w:szCs w:val="22"/>
        </w:rPr>
      </w:pPr>
    </w:p>
    <w:p w14:paraId="297DAC07" w14:textId="33ABFA60" w:rsidR="00A63999" w:rsidRPr="00797985" w:rsidRDefault="00A63999" w:rsidP="00803C7D">
      <w:pPr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797985">
        <w:rPr>
          <w:rFonts w:asciiTheme="minorHAnsi" w:hAnsiTheme="minorHAnsi" w:cs="Arial"/>
          <w:sz w:val="22"/>
          <w:szCs w:val="22"/>
        </w:rPr>
        <w:t>Wynagrodzenie obejmuje wszystkie elementy składowe Zapytania Ofertowego, płatne  jednorazowo po podpisaniu protokołu odbioru. Koszty transportu oraz ewentualnego ubezpieczenia pokrywa dostawca.</w:t>
      </w:r>
    </w:p>
    <w:p w14:paraId="553D405D" w14:textId="77777777" w:rsidR="00A63999" w:rsidRPr="00797985" w:rsidRDefault="00A63999" w:rsidP="00A63999">
      <w:pPr>
        <w:rPr>
          <w:rFonts w:asciiTheme="minorHAnsi" w:hAnsiTheme="minorHAnsi" w:cs="Calibri"/>
          <w:b/>
          <w:sz w:val="22"/>
          <w:szCs w:val="22"/>
        </w:rPr>
      </w:pPr>
    </w:p>
    <w:p w14:paraId="29DB15FD" w14:textId="77777777" w:rsidR="00A63999" w:rsidRPr="00797985" w:rsidRDefault="00A63999" w:rsidP="00A63999">
      <w:pPr>
        <w:numPr>
          <w:ilvl w:val="1"/>
          <w:numId w:val="19"/>
        </w:numPr>
        <w:ind w:left="567" w:hanging="567"/>
        <w:rPr>
          <w:rFonts w:asciiTheme="minorHAnsi" w:hAnsiTheme="minorHAnsi" w:cs="Calibri"/>
          <w:b/>
          <w:sz w:val="22"/>
          <w:szCs w:val="22"/>
        </w:rPr>
      </w:pPr>
      <w:r w:rsidRPr="00797985">
        <w:rPr>
          <w:rFonts w:asciiTheme="minorHAnsi" w:hAnsiTheme="minorHAnsi" w:cs="Calibri"/>
          <w:b/>
          <w:sz w:val="22"/>
          <w:szCs w:val="22"/>
        </w:rPr>
        <w:t>Miejsce dostawy przedmiotu zamówienia oraz wykonania pozostałych usług</w:t>
      </w:r>
    </w:p>
    <w:p w14:paraId="54E75B75" w14:textId="77777777" w:rsidR="00A63999" w:rsidRPr="00797985" w:rsidRDefault="00A63999" w:rsidP="00A63999">
      <w:pPr>
        <w:rPr>
          <w:rFonts w:asciiTheme="minorHAnsi" w:hAnsiTheme="minorHAnsi" w:cs="Calibri"/>
          <w:b/>
          <w:sz w:val="22"/>
          <w:szCs w:val="22"/>
        </w:rPr>
      </w:pPr>
    </w:p>
    <w:p w14:paraId="4AAC7B75" w14:textId="77777777" w:rsidR="00A63999" w:rsidRPr="00797985" w:rsidRDefault="00A63999" w:rsidP="00A63999">
      <w:pPr>
        <w:spacing w:after="240"/>
        <w:ind w:left="567"/>
        <w:jc w:val="both"/>
        <w:rPr>
          <w:rFonts w:asciiTheme="minorHAnsi" w:hAnsiTheme="minorHAnsi" w:cs="Calibri"/>
          <w:sz w:val="22"/>
          <w:szCs w:val="22"/>
        </w:rPr>
      </w:pPr>
      <w:r w:rsidRPr="00797985">
        <w:rPr>
          <w:rFonts w:asciiTheme="minorHAnsi" w:hAnsiTheme="minorHAnsi" w:cs="Calibri"/>
          <w:b/>
          <w:sz w:val="22"/>
          <w:szCs w:val="22"/>
        </w:rPr>
        <w:t xml:space="preserve">Wyższa Szkoła Bankowa we Wrocławiu, </w:t>
      </w:r>
      <w:r w:rsidRPr="00797985">
        <w:rPr>
          <w:rFonts w:asciiTheme="minorHAnsi" w:hAnsiTheme="minorHAnsi" w:cs="Calibri"/>
          <w:sz w:val="22"/>
          <w:szCs w:val="22"/>
        </w:rPr>
        <w:t xml:space="preserve">ul. Fabryczna 29-31; 53-609 Wrocław; budynek A, pokój 023 </w:t>
      </w:r>
    </w:p>
    <w:p w14:paraId="56091D2E" w14:textId="77777777" w:rsidR="00A63999" w:rsidRPr="00797985" w:rsidRDefault="00A63999" w:rsidP="00A63999">
      <w:pPr>
        <w:numPr>
          <w:ilvl w:val="1"/>
          <w:numId w:val="19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Kod CPV: </w:t>
      </w:r>
    </w:p>
    <w:p w14:paraId="36B15A35" w14:textId="77777777" w:rsidR="00A63999" w:rsidRPr="00797985" w:rsidRDefault="00A63999" w:rsidP="00A63999">
      <w:pPr>
        <w:ind w:left="567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Kod CPV: 48820000-2 - Serwery</w:t>
      </w:r>
    </w:p>
    <w:p w14:paraId="4CDE7DB1" w14:textId="77777777" w:rsidR="00A63999" w:rsidRPr="00797985" w:rsidRDefault="00A63999" w:rsidP="00A63999">
      <w:pPr>
        <w:ind w:left="567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Kod CPV: </w:t>
      </w:r>
      <w:r w:rsidRPr="00797985">
        <w:rPr>
          <w:rFonts w:asciiTheme="minorHAnsi" w:hAnsiTheme="minorHAnsi"/>
          <w:bCs/>
          <w:sz w:val="22"/>
          <w:szCs w:val="22"/>
        </w:rPr>
        <w:t>48000000-8 - Pakiety oprogramowania i systemy informatyczne</w:t>
      </w:r>
    </w:p>
    <w:p w14:paraId="0E88D25C" w14:textId="77777777" w:rsidR="00A63999" w:rsidRPr="00797985" w:rsidRDefault="00A63999" w:rsidP="00A63999">
      <w:pPr>
        <w:ind w:firstLine="567"/>
        <w:rPr>
          <w:rFonts w:asciiTheme="minorHAnsi" w:hAnsiTheme="minorHAnsi"/>
          <w:sz w:val="22"/>
          <w:szCs w:val="22"/>
        </w:rPr>
      </w:pPr>
    </w:p>
    <w:p w14:paraId="31FACBD8" w14:textId="77777777" w:rsidR="00A63999" w:rsidRPr="00797985" w:rsidRDefault="00A63999" w:rsidP="00A63999">
      <w:pPr>
        <w:numPr>
          <w:ilvl w:val="1"/>
          <w:numId w:val="19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Dodatkowe przedmioty zamówienia </w:t>
      </w:r>
    </w:p>
    <w:p w14:paraId="7D6AEEB0" w14:textId="77777777" w:rsidR="00A63999" w:rsidRPr="00797985" w:rsidRDefault="00A63999" w:rsidP="00A63999">
      <w:pPr>
        <w:ind w:firstLine="567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Zamawiający nie przewiduje dodatkowych przedmiotów zamówienia</w:t>
      </w:r>
    </w:p>
    <w:p w14:paraId="0A53D23F" w14:textId="77777777" w:rsidR="00A63999" w:rsidRPr="00797985" w:rsidRDefault="00A63999" w:rsidP="00A63999">
      <w:pPr>
        <w:rPr>
          <w:rFonts w:asciiTheme="minorHAnsi" w:hAnsiTheme="minorHAnsi"/>
          <w:sz w:val="22"/>
          <w:szCs w:val="22"/>
        </w:rPr>
      </w:pPr>
    </w:p>
    <w:p w14:paraId="4CB57B8D" w14:textId="77777777" w:rsidR="00A63999" w:rsidRPr="00797985" w:rsidRDefault="00A63999" w:rsidP="00A63999">
      <w:pPr>
        <w:numPr>
          <w:ilvl w:val="1"/>
          <w:numId w:val="19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Zamówienia uzupełniające </w:t>
      </w:r>
    </w:p>
    <w:p w14:paraId="6951A0B2" w14:textId="77777777" w:rsidR="00A63999" w:rsidRPr="00797985" w:rsidRDefault="00A63999" w:rsidP="00A63999">
      <w:pPr>
        <w:ind w:left="567"/>
        <w:rPr>
          <w:rFonts w:asciiTheme="minorHAnsi" w:hAnsiTheme="minorHAnsi"/>
          <w:b/>
          <w:sz w:val="22"/>
          <w:szCs w:val="22"/>
          <w:highlight w:val="yellow"/>
        </w:rPr>
      </w:pPr>
      <w:r w:rsidRPr="00797985">
        <w:rPr>
          <w:rFonts w:asciiTheme="minorHAnsi" w:hAnsiTheme="minorHAnsi"/>
          <w:sz w:val="22"/>
          <w:szCs w:val="22"/>
        </w:rPr>
        <w:t>Zamawiający nie przewiduje zamówień uzupełniających</w:t>
      </w:r>
      <w:r w:rsidRPr="00797985">
        <w:rPr>
          <w:rFonts w:asciiTheme="minorHAnsi" w:hAnsiTheme="minorHAnsi"/>
          <w:b/>
          <w:sz w:val="22"/>
          <w:szCs w:val="22"/>
        </w:rPr>
        <w:t>.</w:t>
      </w:r>
    </w:p>
    <w:p w14:paraId="7B8EA9A6" w14:textId="77777777" w:rsidR="00A63999" w:rsidRPr="00797985" w:rsidRDefault="00A63999" w:rsidP="00A63999">
      <w:pPr>
        <w:rPr>
          <w:rFonts w:asciiTheme="minorHAnsi" w:hAnsiTheme="minorHAnsi"/>
          <w:sz w:val="22"/>
          <w:szCs w:val="22"/>
          <w:highlight w:val="yellow"/>
        </w:rPr>
      </w:pPr>
    </w:p>
    <w:p w14:paraId="2B0F2F1B" w14:textId="77777777" w:rsidR="00A63999" w:rsidRPr="00797985" w:rsidRDefault="00A63999" w:rsidP="00A63999">
      <w:pPr>
        <w:pStyle w:val="Akapitzlist"/>
        <w:numPr>
          <w:ilvl w:val="0"/>
          <w:numId w:val="19"/>
        </w:numPr>
        <w:ind w:left="567" w:hanging="567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Terminy realizacji zamówienia </w:t>
      </w:r>
    </w:p>
    <w:p w14:paraId="008EE492" w14:textId="77777777" w:rsidR="00A63999" w:rsidRPr="00797985" w:rsidRDefault="00A63999" w:rsidP="00A63999">
      <w:pPr>
        <w:ind w:left="567"/>
        <w:rPr>
          <w:rFonts w:asciiTheme="minorHAnsi" w:hAnsiTheme="minorHAnsi"/>
          <w:b/>
          <w:sz w:val="22"/>
          <w:szCs w:val="22"/>
          <w:highlight w:val="yellow"/>
        </w:rPr>
      </w:pPr>
    </w:p>
    <w:p w14:paraId="04E36CA4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Harmonogram realizacji zamówienia:</w:t>
      </w:r>
    </w:p>
    <w:p w14:paraId="23CB7A84" w14:textId="77777777" w:rsidR="00A63999" w:rsidRPr="00797985" w:rsidRDefault="00A63999" w:rsidP="002B257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zobowiązuje się dostarczyć przedmiot zamówienia w terminie nie dłuższym niż 21 dni od dnia podpisania umowy (kryterium punktowane)</w:t>
      </w:r>
    </w:p>
    <w:p w14:paraId="5027DBFF" w14:textId="77777777" w:rsidR="00A63999" w:rsidRPr="00797985" w:rsidRDefault="00A63999" w:rsidP="002B2577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Za termin wykonania przedmiotu umowy uważa się jego dostarczenie do siedziby Zamawiającego oraz podłączenie, skonfigurowanie i uruchomienie serwera w ramach posiadanej przez Zamawiającego infrastruktury wraz z wpięciem do klastra Vmware Horizon potwierdzone protokołem odbioru.</w:t>
      </w:r>
    </w:p>
    <w:p w14:paraId="242FAF7A" w14:textId="77777777" w:rsidR="00A63999" w:rsidRPr="00797985" w:rsidRDefault="00A63999" w:rsidP="002B2577">
      <w:pPr>
        <w:ind w:left="567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546B916B" w14:textId="77777777" w:rsidR="00A63999" w:rsidRPr="00797985" w:rsidRDefault="00A63999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Warunki udziału w postępowaniu</w:t>
      </w:r>
    </w:p>
    <w:p w14:paraId="3DB69541" w14:textId="77777777" w:rsidR="00A63999" w:rsidRPr="00797985" w:rsidRDefault="00A63999" w:rsidP="002B2577">
      <w:pPr>
        <w:pStyle w:val="Akapitzlist"/>
        <w:numPr>
          <w:ilvl w:val="1"/>
          <w:numId w:val="19"/>
        </w:numPr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Uprawnienia do wykonania określonej działalności lub czynności</w:t>
      </w:r>
    </w:p>
    <w:p w14:paraId="2088C139" w14:textId="77777777" w:rsidR="00A63999" w:rsidRPr="00797985" w:rsidRDefault="00A63999" w:rsidP="002B2577">
      <w:pPr>
        <w:ind w:left="644"/>
        <w:jc w:val="both"/>
        <w:rPr>
          <w:rFonts w:asciiTheme="minorHAnsi" w:hAnsiTheme="minorHAnsi"/>
          <w:sz w:val="22"/>
          <w:szCs w:val="22"/>
        </w:rPr>
      </w:pPr>
    </w:p>
    <w:p w14:paraId="39695CAF" w14:textId="77777777" w:rsidR="00A63999" w:rsidRPr="00797985" w:rsidRDefault="00A63999" w:rsidP="002B2577">
      <w:pPr>
        <w:ind w:left="644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 postępowaniu mogą wziąć udział Wykonawcy, którzy spełniają niżej wymienione warunki udziału w postępowaniu.</w:t>
      </w:r>
    </w:p>
    <w:p w14:paraId="1A15692A" w14:textId="77777777" w:rsidR="00A63999" w:rsidRPr="00797985" w:rsidRDefault="00A63999" w:rsidP="002B2577">
      <w:pPr>
        <w:jc w:val="both"/>
        <w:rPr>
          <w:rFonts w:asciiTheme="minorHAnsi" w:hAnsiTheme="minorHAnsi"/>
          <w:sz w:val="22"/>
          <w:szCs w:val="22"/>
        </w:rPr>
      </w:pPr>
    </w:p>
    <w:p w14:paraId="622BFF92" w14:textId="464D5DEC" w:rsidR="00A63999" w:rsidRPr="00797985" w:rsidRDefault="00A63999" w:rsidP="00325C0F">
      <w:pPr>
        <w:pStyle w:val="Akapitzlist"/>
        <w:numPr>
          <w:ilvl w:val="1"/>
          <w:numId w:val="19"/>
        </w:numPr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Sytuacja ekonomiczna i finansowa </w:t>
      </w:r>
    </w:p>
    <w:p w14:paraId="21191076" w14:textId="77777777" w:rsidR="00325C0F" w:rsidRPr="00797985" w:rsidRDefault="00325C0F" w:rsidP="00325C0F">
      <w:pPr>
        <w:pStyle w:val="Akapitzlis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14:paraId="4CF87C73" w14:textId="77777777" w:rsidR="00A63999" w:rsidRPr="00797985" w:rsidRDefault="00A63999" w:rsidP="002B2577">
      <w:pPr>
        <w:pStyle w:val="Akapitzlist"/>
        <w:ind w:left="644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znajduje się w sytuacji ekonomicznej i finansowej zapewniającej terminowe wykonanie przedmiotu zamówienia.</w:t>
      </w:r>
    </w:p>
    <w:p w14:paraId="73CB1DA4" w14:textId="77777777" w:rsidR="00A63999" w:rsidRPr="00797985" w:rsidRDefault="00A63999" w:rsidP="002B2577">
      <w:pPr>
        <w:pStyle w:val="Akapitzlist"/>
        <w:spacing w:after="160" w:line="259" w:lineRule="auto"/>
        <w:ind w:left="0" w:firstLine="644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nie znajdują się w stanie likwidacji ani nie ogłoszono upadłości.</w:t>
      </w:r>
    </w:p>
    <w:p w14:paraId="523D22EC" w14:textId="77777777" w:rsidR="00A63999" w:rsidRPr="00797985" w:rsidRDefault="00A63999" w:rsidP="002B2577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Wykonawca nie zalega z uiszczeniem podatków, opłat oraz składek na ubezpieczenia </w:t>
      </w:r>
    </w:p>
    <w:p w14:paraId="0E71ABCD" w14:textId="77777777" w:rsidR="00A63999" w:rsidRPr="00797985" w:rsidRDefault="00A63999" w:rsidP="002B2577">
      <w:pPr>
        <w:pStyle w:val="Akapitzlist"/>
        <w:spacing w:after="160" w:line="259" w:lineRule="auto"/>
        <w:ind w:left="709" w:hanging="65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społeczne i zdrowotne.</w:t>
      </w:r>
    </w:p>
    <w:p w14:paraId="456B2606" w14:textId="77777777" w:rsidR="00A63999" w:rsidRPr="00797985" w:rsidRDefault="00A63999" w:rsidP="002B2577">
      <w:pPr>
        <w:pStyle w:val="Akapitzlist"/>
        <w:numPr>
          <w:ilvl w:val="1"/>
          <w:numId w:val="19"/>
        </w:numPr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Dodatkowe warunki:</w:t>
      </w:r>
    </w:p>
    <w:p w14:paraId="04497604" w14:textId="77777777" w:rsidR="00325C0F" w:rsidRPr="00797985" w:rsidRDefault="00325C0F" w:rsidP="00325C0F">
      <w:pPr>
        <w:pStyle w:val="Akapitzlist"/>
        <w:ind w:left="644"/>
        <w:jc w:val="both"/>
        <w:rPr>
          <w:rFonts w:asciiTheme="minorHAnsi" w:hAnsiTheme="minorHAnsi"/>
          <w:b/>
          <w:sz w:val="22"/>
          <w:szCs w:val="22"/>
        </w:rPr>
      </w:pPr>
    </w:p>
    <w:p w14:paraId="3A9E9271" w14:textId="77777777" w:rsidR="00A63999" w:rsidRPr="00797985" w:rsidRDefault="00A63999" w:rsidP="002B2577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będzie musiał udowodnić posiadanie kompetencji w obszarze Vmware (certyfikat VSP lub wyższy)</w:t>
      </w:r>
    </w:p>
    <w:p w14:paraId="7064BFDB" w14:textId="77777777" w:rsidR="00A63999" w:rsidRPr="00797985" w:rsidRDefault="00A63999" w:rsidP="002B2577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Wykonawca zrealizował należycie w okresie ostatnich trzech lat przed upływem terminu składania ofert, a jeżeli okres prowadzenia działalności jest krótszy – w tym okresie, co najmniej jedno wdrożenie środowiska Vmware Horizon </w:t>
      </w:r>
      <w:proofErr w:type="spellStart"/>
      <w:r w:rsidRPr="00797985">
        <w:rPr>
          <w:rFonts w:asciiTheme="minorHAnsi" w:hAnsiTheme="minorHAnsi"/>
          <w:sz w:val="22"/>
          <w:szCs w:val="22"/>
        </w:rPr>
        <w:t>View</w:t>
      </w:r>
      <w:proofErr w:type="spellEnd"/>
      <w:r w:rsidRPr="00797985">
        <w:rPr>
          <w:rFonts w:asciiTheme="minorHAnsi" w:hAnsiTheme="minorHAnsi"/>
          <w:sz w:val="22"/>
          <w:szCs w:val="22"/>
        </w:rPr>
        <w:t xml:space="preserve"> dla minimum 100 użytkowników</w:t>
      </w:r>
    </w:p>
    <w:p w14:paraId="64212759" w14:textId="77777777" w:rsidR="00A63999" w:rsidRPr="00797985" w:rsidRDefault="00A63999" w:rsidP="002B2577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091BE68E" w14:textId="19C7F4B4" w:rsidR="00A63999" w:rsidRPr="00797985" w:rsidRDefault="00A63999" w:rsidP="002B2577">
      <w:pPr>
        <w:pStyle w:val="Akapitzlist"/>
        <w:numPr>
          <w:ilvl w:val="1"/>
          <w:numId w:val="19"/>
        </w:numPr>
        <w:ind w:hanging="644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Sposób dokonania oceny spełnienia warunków  udziału w postępowaniu</w:t>
      </w:r>
    </w:p>
    <w:p w14:paraId="5294AC74" w14:textId="77777777" w:rsidR="007D116F" w:rsidRPr="00797985" w:rsidRDefault="007D116F" w:rsidP="00720571">
      <w:pPr>
        <w:ind w:left="646"/>
        <w:jc w:val="both"/>
        <w:rPr>
          <w:rFonts w:asciiTheme="minorHAnsi" w:hAnsiTheme="minorHAnsi"/>
        </w:rPr>
      </w:pPr>
    </w:p>
    <w:p w14:paraId="05DD3EC7" w14:textId="33A8601C" w:rsidR="00720571" w:rsidRPr="00D47187" w:rsidRDefault="007D116F" w:rsidP="007D116F">
      <w:pPr>
        <w:ind w:left="567"/>
        <w:jc w:val="both"/>
        <w:rPr>
          <w:rFonts w:asciiTheme="minorHAnsi" w:hAnsiTheme="minorHAnsi"/>
          <w:sz w:val="22"/>
          <w:szCs w:val="22"/>
        </w:rPr>
      </w:pPr>
      <w:r w:rsidRPr="00D47187">
        <w:rPr>
          <w:rFonts w:asciiTheme="minorHAnsi" w:hAnsiTheme="minorHAnsi"/>
          <w:sz w:val="22"/>
          <w:szCs w:val="22"/>
        </w:rPr>
        <w:t>Ocena spełnienia warunków udziału w postępowaniu przeprowadzona zostanie w oparciu o p</w:t>
      </w:r>
      <w:r w:rsidR="00720571" w:rsidRPr="00D47187">
        <w:rPr>
          <w:rFonts w:asciiTheme="minorHAnsi" w:hAnsiTheme="minorHAnsi"/>
          <w:sz w:val="22"/>
          <w:szCs w:val="22"/>
        </w:rPr>
        <w:t xml:space="preserve">odpisane przez Wykonawcę </w:t>
      </w:r>
      <w:r w:rsidRPr="00D47187">
        <w:rPr>
          <w:rFonts w:asciiTheme="minorHAnsi" w:hAnsiTheme="minorHAnsi"/>
          <w:sz w:val="22"/>
          <w:szCs w:val="22"/>
        </w:rPr>
        <w:t xml:space="preserve">oświadczenie </w:t>
      </w:r>
      <w:r w:rsidR="00720571" w:rsidRPr="00D47187">
        <w:rPr>
          <w:rFonts w:asciiTheme="minorHAnsi" w:hAnsiTheme="minorHAnsi"/>
          <w:sz w:val="22"/>
          <w:szCs w:val="22"/>
        </w:rPr>
        <w:t>o spełnieniu wymagań Zamawiającego określonych w załączniku nr 1 do Szacowania wartości zamówienia.</w:t>
      </w:r>
    </w:p>
    <w:p w14:paraId="13BE0CC9" w14:textId="77777777" w:rsidR="00720571" w:rsidRPr="003550E3" w:rsidRDefault="00720571" w:rsidP="00720571">
      <w:pPr>
        <w:rPr>
          <w:rFonts w:asciiTheme="minorHAnsi" w:hAnsiTheme="minorHAnsi"/>
        </w:rPr>
      </w:pPr>
    </w:p>
    <w:p w14:paraId="32E23948" w14:textId="77777777" w:rsidR="00A63999" w:rsidRPr="00797985" w:rsidRDefault="00A63999" w:rsidP="002B2577">
      <w:pPr>
        <w:jc w:val="both"/>
        <w:rPr>
          <w:rFonts w:asciiTheme="minorHAnsi" w:hAnsiTheme="minorHAnsi"/>
          <w:sz w:val="22"/>
          <w:szCs w:val="22"/>
        </w:rPr>
      </w:pPr>
    </w:p>
    <w:p w14:paraId="2BBC43A4" w14:textId="77777777" w:rsidR="00A63999" w:rsidRPr="00797985" w:rsidRDefault="00A63999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Wykluczenia z udziału w postępowaniu</w:t>
      </w:r>
    </w:p>
    <w:p w14:paraId="707BC52A" w14:textId="77777777" w:rsidR="00A63999" w:rsidRPr="00797985" w:rsidRDefault="00A63999" w:rsidP="002B2577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5747CD40" w14:textId="77777777" w:rsidR="00A63999" w:rsidRPr="00797985" w:rsidRDefault="00A63999" w:rsidP="002B2577">
      <w:pPr>
        <w:pStyle w:val="Akapitzlist"/>
        <w:ind w:left="567"/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W  celu uniknięcia konfliktu interesów, zamówienie nie może być udzielane podmiotom powiązanym osobowo lub kapitałowo z Zamawiającym tj. Wyższą Szkołą Bankową we Wrocławiu. Przez powiązania kapitałowe lub osobowe rozumie się wzajemne </w:t>
      </w:r>
      <w:r w:rsidRPr="00797985">
        <w:rPr>
          <w:rFonts w:asciiTheme="minorHAnsi" w:eastAsia="Times New Roman" w:hAnsiTheme="minorHAnsi" w:cs="Arial"/>
          <w:sz w:val="22"/>
          <w:szCs w:val="22"/>
        </w:rPr>
        <w:t xml:space="preserve">powiązania między Zamawiającym tj. </w:t>
      </w:r>
      <w:r w:rsidRPr="00797985">
        <w:rPr>
          <w:rFonts w:asciiTheme="minorHAnsi" w:hAnsiTheme="minorHAnsi"/>
          <w:sz w:val="22"/>
          <w:szCs w:val="22"/>
        </w:rPr>
        <w:t xml:space="preserve">Wyższą Szkołą Bankową we Wrocławiu </w:t>
      </w:r>
      <w:r w:rsidRPr="00797985">
        <w:rPr>
          <w:rFonts w:asciiTheme="minorHAnsi" w:eastAsia="Times New Roman" w:hAnsiTheme="minorHAnsi" w:cs="Arial"/>
          <w:sz w:val="22"/>
          <w:szCs w:val="22"/>
        </w:rPr>
        <w:t xml:space="preserve">lub osobami upoważnionymi do zaciągania zobowiązań w imieniu Zamawiającego tj. </w:t>
      </w:r>
      <w:r w:rsidRPr="00797985">
        <w:rPr>
          <w:rFonts w:asciiTheme="minorHAnsi" w:hAnsiTheme="minorHAnsi"/>
          <w:sz w:val="22"/>
          <w:szCs w:val="22"/>
        </w:rPr>
        <w:t xml:space="preserve">Wyższej Szkoły Bankowej we Wrocławiu </w:t>
      </w:r>
      <w:r w:rsidRPr="00797985">
        <w:rPr>
          <w:rFonts w:asciiTheme="minorHAnsi" w:eastAsia="Times New Roman" w:hAnsiTheme="minorHAnsi" w:cs="Arial"/>
          <w:sz w:val="22"/>
          <w:szCs w:val="22"/>
        </w:rPr>
        <w:t xml:space="preserve">lub osobami wykonującymi w imieniu Zamawiającego tj. </w:t>
      </w:r>
      <w:r w:rsidRPr="00797985">
        <w:rPr>
          <w:rFonts w:asciiTheme="minorHAnsi" w:hAnsiTheme="minorHAnsi"/>
          <w:sz w:val="22"/>
          <w:szCs w:val="22"/>
        </w:rPr>
        <w:t>Wyższej Szkoły Bankowej we Wrocławiu</w:t>
      </w:r>
      <w:r w:rsidRPr="00797985">
        <w:rPr>
          <w:rFonts w:asciiTheme="minorHAnsi" w:eastAsia="Times New Roman" w:hAnsiTheme="minorHAnsi" w:cs="Arial"/>
          <w:sz w:val="22"/>
          <w:szCs w:val="22"/>
        </w:rPr>
        <w:t xml:space="preserve"> czynności związanych z przeprowadzeniem procedury wyboru Wykonawcy, a Wykonawcą, polegające w szczególności na:</w:t>
      </w:r>
    </w:p>
    <w:p w14:paraId="7899E6CA" w14:textId="77777777" w:rsidR="00A63999" w:rsidRPr="00797985" w:rsidRDefault="00A63999" w:rsidP="002B2577">
      <w:pPr>
        <w:pStyle w:val="Akapitzlist"/>
        <w:numPr>
          <w:ilvl w:val="1"/>
          <w:numId w:val="22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eastAsia="Times New Roman" w:hAnsiTheme="minorHAnsi" w:cs="Arial"/>
          <w:sz w:val="22"/>
          <w:szCs w:val="22"/>
        </w:rPr>
        <w:t>uczestniczeniu w spółce jako wspólnik spółki cywilnej lub spółki osobowej,</w:t>
      </w:r>
    </w:p>
    <w:p w14:paraId="4337CBB8" w14:textId="77777777" w:rsidR="00A63999" w:rsidRPr="00797985" w:rsidRDefault="00A63999" w:rsidP="002B2577">
      <w:pPr>
        <w:pStyle w:val="Akapitzlist"/>
        <w:numPr>
          <w:ilvl w:val="1"/>
          <w:numId w:val="22"/>
        </w:num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97985">
        <w:rPr>
          <w:rFonts w:asciiTheme="minorHAnsi" w:eastAsia="Times New Roman" w:hAnsiTheme="minorHAnsi" w:cs="Arial"/>
          <w:sz w:val="22"/>
          <w:szCs w:val="22"/>
        </w:rPr>
        <w:t>posiadaniu co najmniej 10% udziałów lub akcji,</w:t>
      </w:r>
    </w:p>
    <w:p w14:paraId="4E8F20E4" w14:textId="77777777" w:rsidR="00A63999" w:rsidRPr="00797985" w:rsidRDefault="00A63999" w:rsidP="002B2577">
      <w:pPr>
        <w:pStyle w:val="Akapitzlist"/>
        <w:numPr>
          <w:ilvl w:val="1"/>
          <w:numId w:val="22"/>
        </w:num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97985">
        <w:rPr>
          <w:rFonts w:asciiTheme="minorHAnsi" w:eastAsia="Times New Roman" w:hAnsiTheme="minorHAnsi" w:cs="Arial"/>
          <w:sz w:val="22"/>
          <w:szCs w:val="22"/>
        </w:rPr>
        <w:t>pełnieniu funkcji członka organu nadzorczego lub zarządzającego, prokurenta, pełnomocnika, </w:t>
      </w:r>
    </w:p>
    <w:p w14:paraId="63EDBCDE" w14:textId="77777777" w:rsidR="00A63999" w:rsidRPr="00797985" w:rsidRDefault="00A63999" w:rsidP="002B2577">
      <w:pPr>
        <w:pStyle w:val="Akapitzlist"/>
        <w:numPr>
          <w:ilvl w:val="1"/>
          <w:numId w:val="22"/>
        </w:numPr>
        <w:jc w:val="both"/>
        <w:rPr>
          <w:rFonts w:asciiTheme="minorHAnsi" w:eastAsia="Times New Roman" w:hAnsiTheme="minorHAnsi" w:cs="Arial"/>
          <w:sz w:val="22"/>
          <w:szCs w:val="22"/>
        </w:rPr>
      </w:pPr>
      <w:r w:rsidRPr="00797985">
        <w:rPr>
          <w:rFonts w:asciiTheme="minorHAnsi" w:eastAsia="Times New Roman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737C06" w14:textId="77777777" w:rsidR="00A63999" w:rsidRPr="00797985" w:rsidRDefault="00A63999" w:rsidP="002B2577">
      <w:pPr>
        <w:pStyle w:val="Akapitzlist"/>
        <w:ind w:left="567"/>
        <w:jc w:val="both"/>
        <w:rPr>
          <w:rFonts w:asciiTheme="minorHAnsi" w:eastAsia="Times New Roman" w:hAnsiTheme="minorHAnsi" w:cs="Arial"/>
          <w:sz w:val="22"/>
          <w:szCs w:val="22"/>
        </w:rPr>
      </w:pPr>
    </w:p>
    <w:p w14:paraId="1369B0D3" w14:textId="4FBD8C06" w:rsidR="00A63999" w:rsidRPr="00797985" w:rsidRDefault="00A63999" w:rsidP="002B2577">
      <w:pPr>
        <w:ind w:left="646"/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eastAsia="Times New Roman" w:hAnsiTheme="minorHAnsi" w:cs="Arial"/>
          <w:sz w:val="22"/>
          <w:szCs w:val="22"/>
        </w:rPr>
        <w:t xml:space="preserve">Potwierdzeniem spełnienia ww. warunku będzie złożenie przez Wykonawcę Oświadczenia o braku powiązań </w:t>
      </w:r>
      <w:r w:rsidRPr="00797985">
        <w:rPr>
          <w:rFonts w:asciiTheme="minorHAnsi" w:hAnsiTheme="minorHAnsi"/>
          <w:sz w:val="22"/>
          <w:szCs w:val="22"/>
        </w:rPr>
        <w:t xml:space="preserve">stanowiącego </w:t>
      </w:r>
      <w:r w:rsidRPr="00797985">
        <w:rPr>
          <w:rFonts w:asciiTheme="minorHAnsi" w:hAnsiTheme="minorHAnsi"/>
          <w:b/>
          <w:sz w:val="22"/>
          <w:szCs w:val="22"/>
        </w:rPr>
        <w:t xml:space="preserve">załącznik nr </w:t>
      </w:r>
      <w:r w:rsidR="00FB611F" w:rsidRPr="00797985">
        <w:rPr>
          <w:rFonts w:asciiTheme="minorHAnsi" w:hAnsiTheme="minorHAnsi"/>
          <w:b/>
          <w:sz w:val="22"/>
          <w:szCs w:val="22"/>
        </w:rPr>
        <w:t>2</w:t>
      </w:r>
      <w:r w:rsidRPr="00797985">
        <w:rPr>
          <w:rFonts w:asciiTheme="minorHAnsi" w:hAnsiTheme="minorHAnsi"/>
          <w:sz w:val="22"/>
          <w:szCs w:val="22"/>
        </w:rPr>
        <w:t xml:space="preserve"> do niniejszego </w:t>
      </w:r>
      <w:r w:rsidR="00FB611F" w:rsidRPr="00797985">
        <w:rPr>
          <w:rFonts w:asciiTheme="minorHAnsi" w:hAnsiTheme="minorHAnsi"/>
          <w:sz w:val="22"/>
          <w:szCs w:val="22"/>
        </w:rPr>
        <w:t>szacowania</w:t>
      </w:r>
      <w:r w:rsidRPr="00797985">
        <w:rPr>
          <w:rFonts w:asciiTheme="minorHAnsi" w:hAnsiTheme="minorHAnsi"/>
          <w:sz w:val="22"/>
          <w:szCs w:val="22"/>
        </w:rPr>
        <w:t>.</w:t>
      </w:r>
    </w:p>
    <w:p w14:paraId="58B13C6F" w14:textId="77777777" w:rsidR="00A63999" w:rsidRPr="00797985" w:rsidRDefault="00A63999" w:rsidP="002B2577">
      <w:pPr>
        <w:pStyle w:val="Akapitzlist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14:paraId="2268477E" w14:textId="77777777" w:rsidR="00A63999" w:rsidRPr="00797985" w:rsidRDefault="00A63999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Lista Dokumentów wymaganych od Wykonawcy </w:t>
      </w:r>
    </w:p>
    <w:p w14:paraId="158B6619" w14:textId="77777777" w:rsidR="00A63999" w:rsidRPr="00797985" w:rsidRDefault="00A63999" w:rsidP="002B2577">
      <w:pPr>
        <w:jc w:val="both"/>
        <w:rPr>
          <w:rFonts w:asciiTheme="minorHAnsi" w:hAnsiTheme="minorHAnsi"/>
          <w:sz w:val="22"/>
          <w:szCs w:val="22"/>
        </w:rPr>
      </w:pPr>
    </w:p>
    <w:p w14:paraId="5D39968E" w14:textId="4F86A298" w:rsidR="006D2E83" w:rsidRPr="00797985" w:rsidRDefault="006D2E83" w:rsidP="002B2577">
      <w:pPr>
        <w:shd w:val="clear" w:color="auto" w:fill="FFFFFF"/>
        <w:jc w:val="both"/>
        <w:rPr>
          <w:rFonts w:asciiTheme="minorHAnsi" w:eastAsia="Calibri" w:hAnsiTheme="minorHAnsi"/>
          <w:sz w:val="22"/>
          <w:szCs w:val="22"/>
        </w:rPr>
      </w:pPr>
      <w:r w:rsidRPr="00797985">
        <w:rPr>
          <w:rFonts w:asciiTheme="minorHAnsi" w:eastAsia="Calibri" w:hAnsiTheme="minorHAnsi"/>
          <w:sz w:val="22"/>
          <w:szCs w:val="22"/>
        </w:rPr>
        <w:t xml:space="preserve">Wykonawca składa tylko jeden wypełniony i podpisany Formularz szacowania wartości zamówienia, wypełniony w języku polskim, czytelnie. </w:t>
      </w:r>
    </w:p>
    <w:p w14:paraId="05519BFB" w14:textId="77777777" w:rsidR="006D2E83" w:rsidRPr="00797985" w:rsidRDefault="006D2E83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eastAsia="Calibri" w:hAnsiTheme="minorHAnsi"/>
          <w:sz w:val="22"/>
          <w:szCs w:val="22"/>
        </w:rPr>
        <w:t xml:space="preserve">Lista dokumentów, które Wykonawca zobowiązany jest złożyć w odpowiedzi na Szacowanie </w:t>
      </w:r>
      <w:r w:rsidRPr="00797985">
        <w:rPr>
          <w:rFonts w:asciiTheme="minorHAnsi" w:hAnsiTheme="minorHAnsi"/>
          <w:sz w:val="22"/>
          <w:szCs w:val="22"/>
        </w:rPr>
        <w:t>wartości zamówienia:</w:t>
      </w:r>
    </w:p>
    <w:p w14:paraId="26D9B038" w14:textId="20D1EFE9" w:rsidR="006D2E83" w:rsidRPr="00797985" w:rsidRDefault="006D2E83" w:rsidP="002B2577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Załącznik nr 1  do Szacowania wartości zamówienia nr </w:t>
      </w:r>
      <w:r w:rsidR="00E14C38" w:rsidRPr="003D296A">
        <w:rPr>
          <w:rFonts w:asciiTheme="minorHAnsi" w:eastAsia="Times New Roman" w:hAnsiTheme="minorHAnsi"/>
          <w:b/>
          <w:sz w:val="22"/>
          <w:szCs w:val="22"/>
        </w:rPr>
        <w:t>01/06/2018/</w:t>
      </w:r>
      <w:r w:rsidR="0033223C">
        <w:rPr>
          <w:rFonts w:asciiTheme="minorHAnsi" w:eastAsia="Times New Roman" w:hAnsiTheme="minorHAnsi"/>
          <w:b/>
          <w:sz w:val="22"/>
          <w:szCs w:val="22"/>
        </w:rPr>
        <w:t>Z004/</w:t>
      </w:r>
      <w:r w:rsidR="00E14C38" w:rsidRPr="003D296A">
        <w:rPr>
          <w:rFonts w:asciiTheme="minorHAnsi" w:eastAsia="Times New Roman" w:hAnsiTheme="minorHAnsi"/>
          <w:b/>
          <w:sz w:val="22"/>
          <w:szCs w:val="22"/>
        </w:rPr>
        <w:t xml:space="preserve">80/IJ/S </w:t>
      </w:r>
      <w:r w:rsidRPr="00797985">
        <w:rPr>
          <w:rFonts w:asciiTheme="minorHAnsi" w:hAnsiTheme="minorHAnsi"/>
          <w:sz w:val="22"/>
          <w:szCs w:val="22"/>
        </w:rPr>
        <w:t xml:space="preserve">- </w:t>
      </w:r>
      <w:r w:rsidRPr="009316E8">
        <w:rPr>
          <w:rFonts w:asciiTheme="minorHAnsi" w:hAnsiTheme="minorHAnsi"/>
          <w:b/>
          <w:sz w:val="22"/>
          <w:szCs w:val="22"/>
        </w:rPr>
        <w:t>Formularz szacowania wartości zamówienia</w:t>
      </w:r>
      <w:r w:rsidRPr="00797985">
        <w:rPr>
          <w:rFonts w:asciiTheme="minorHAnsi" w:hAnsiTheme="minorHAnsi"/>
          <w:sz w:val="22"/>
          <w:szCs w:val="22"/>
        </w:rPr>
        <w:t xml:space="preserve"> – wypełniony i podpisany przez Wykonawcę lub osobę/osoby upoważnione do reprezentacji Wykonawcy.</w:t>
      </w:r>
    </w:p>
    <w:p w14:paraId="1450D1ED" w14:textId="30ED7B89" w:rsidR="00917299" w:rsidRPr="00797985" w:rsidRDefault="006D2E83" w:rsidP="002B2577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 xml:space="preserve">Załącznik nr 2 do Szacowania wartości zamówienia nr </w:t>
      </w:r>
      <w:r w:rsidR="00E14C38" w:rsidRPr="003D296A">
        <w:rPr>
          <w:rFonts w:asciiTheme="minorHAnsi" w:eastAsia="Times New Roman" w:hAnsiTheme="minorHAnsi"/>
          <w:b/>
          <w:sz w:val="22"/>
          <w:szCs w:val="22"/>
        </w:rPr>
        <w:t>01/06/2018/</w:t>
      </w:r>
      <w:r w:rsidR="0033223C">
        <w:rPr>
          <w:rFonts w:asciiTheme="minorHAnsi" w:eastAsia="Times New Roman" w:hAnsiTheme="minorHAnsi"/>
          <w:b/>
          <w:sz w:val="22"/>
          <w:szCs w:val="22"/>
        </w:rPr>
        <w:t>Z004/</w:t>
      </w:r>
      <w:r w:rsidR="00E14C38" w:rsidRPr="003D296A">
        <w:rPr>
          <w:rFonts w:asciiTheme="minorHAnsi" w:eastAsia="Times New Roman" w:hAnsiTheme="minorHAnsi"/>
          <w:b/>
          <w:sz w:val="22"/>
          <w:szCs w:val="22"/>
        </w:rPr>
        <w:t xml:space="preserve">80/IJ/S </w:t>
      </w:r>
      <w:r w:rsidRPr="00797985">
        <w:rPr>
          <w:rFonts w:asciiTheme="minorHAnsi" w:hAnsiTheme="minorHAnsi"/>
          <w:sz w:val="22"/>
          <w:szCs w:val="22"/>
        </w:rPr>
        <w:t xml:space="preserve">– </w:t>
      </w:r>
      <w:r w:rsidRPr="009316E8">
        <w:rPr>
          <w:rFonts w:asciiTheme="minorHAnsi" w:hAnsiTheme="minorHAnsi"/>
          <w:b/>
          <w:sz w:val="22"/>
          <w:szCs w:val="22"/>
        </w:rPr>
        <w:t>Oświadczenie o braku wzajemnych powiązań kapitałowych lub osobowych Wykonawcy i Zamawiającego</w:t>
      </w:r>
      <w:r w:rsidRPr="00797985">
        <w:rPr>
          <w:rFonts w:asciiTheme="minorHAnsi" w:hAnsiTheme="minorHAnsi"/>
          <w:sz w:val="22"/>
          <w:szCs w:val="22"/>
        </w:rPr>
        <w:t>-wypełniony i podpisany przez Wykonawcę lub osobę/osoby upoważnione do reprezentacji Wykonawcy.</w:t>
      </w:r>
    </w:p>
    <w:p w14:paraId="20731767" w14:textId="77777777" w:rsidR="006D2E83" w:rsidRPr="00230278" w:rsidRDefault="006D2E83" w:rsidP="002B2577">
      <w:pPr>
        <w:pStyle w:val="Akapitzlist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230278">
        <w:rPr>
          <w:rFonts w:asciiTheme="minorHAnsi" w:hAnsiTheme="minorHAnsi"/>
          <w:sz w:val="22"/>
          <w:szCs w:val="22"/>
        </w:rPr>
        <w:t>Dokumenty potwierdzające uprawnienia osób do podpisania oferty, jeżeli nie wynika to z dokumentów rejestrowych - dotyczy osób prowadzących działalność gospodarczą, sp. z o.o., s.c. itp.</w:t>
      </w:r>
    </w:p>
    <w:p w14:paraId="7AFC5214" w14:textId="77777777" w:rsidR="00A63999" w:rsidRPr="00797985" w:rsidRDefault="00A63999" w:rsidP="002B2577">
      <w:pPr>
        <w:shd w:val="clear" w:color="auto" w:fill="FFFFFF"/>
        <w:jc w:val="both"/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</w:pPr>
    </w:p>
    <w:p w14:paraId="1DAFA1D0" w14:textId="77777777" w:rsidR="009D38BA" w:rsidRPr="00797985" w:rsidRDefault="006D2E83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 xml:space="preserve">Zakres zmian warunków </w:t>
      </w:r>
      <w:r w:rsidR="009D38BA" w:rsidRPr="00797985">
        <w:rPr>
          <w:rFonts w:asciiTheme="minorHAnsi" w:hAnsiTheme="minorHAnsi"/>
          <w:b/>
          <w:sz w:val="22"/>
          <w:szCs w:val="22"/>
        </w:rPr>
        <w:t>realizacji przedmiotu zamówienia</w:t>
      </w:r>
    </w:p>
    <w:p w14:paraId="14CF3DD3" w14:textId="030F5A7C" w:rsidR="009D38BA" w:rsidRPr="00797985" w:rsidRDefault="009D38BA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Nie określono</w:t>
      </w:r>
    </w:p>
    <w:p w14:paraId="7CD6027E" w14:textId="77777777" w:rsidR="009D38BA" w:rsidRPr="00797985" w:rsidRDefault="009D38BA" w:rsidP="002B2577">
      <w:pPr>
        <w:jc w:val="both"/>
        <w:rPr>
          <w:rFonts w:asciiTheme="minorHAnsi" w:hAnsiTheme="minorHAnsi"/>
          <w:b/>
          <w:sz w:val="22"/>
          <w:szCs w:val="22"/>
        </w:rPr>
      </w:pPr>
    </w:p>
    <w:p w14:paraId="75BD4384" w14:textId="77777777" w:rsidR="003E3E02" w:rsidRPr="00797985" w:rsidRDefault="006D2E83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Sposób przygotowania i składania ofert</w:t>
      </w:r>
    </w:p>
    <w:p w14:paraId="41B69338" w14:textId="2D910047" w:rsidR="006D2E83" w:rsidRPr="00797985" w:rsidRDefault="006D2E83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może złożyć tylko jeden Formularz szacowania wartości zamówienia wypełniony w języku polskim w postaci dokumentów wskazanych w punkcie 6</w:t>
      </w:r>
      <w:r w:rsidR="00864008">
        <w:rPr>
          <w:rFonts w:asciiTheme="minorHAnsi" w:hAnsiTheme="minorHAnsi"/>
          <w:sz w:val="22"/>
          <w:szCs w:val="22"/>
        </w:rPr>
        <w:t>.</w:t>
      </w:r>
      <w:r w:rsidRPr="00797985">
        <w:rPr>
          <w:rFonts w:asciiTheme="minorHAnsi" w:hAnsiTheme="minorHAnsi"/>
          <w:sz w:val="22"/>
          <w:szCs w:val="22"/>
        </w:rPr>
        <w:t xml:space="preserve"> Szacowania wartości zamówienia.</w:t>
      </w:r>
    </w:p>
    <w:p w14:paraId="30A5AC75" w14:textId="77777777" w:rsidR="00FA61D7" w:rsidRPr="00797985" w:rsidRDefault="00FA61D7" w:rsidP="002B2577">
      <w:pPr>
        <w:jc w:val="both"/>
        <w:rPr>
          <w:rFonts w:asciiTheme="minorHAnsi" w:hAnsiTheme="minorHAnsi"/>
          <w:b/>
          <w:sz w:val="22"/>
          <w:szCs w:val="22"/>
        </w:rPr>
      </w:pPr>
    </w:p>
    <w:p w14:paraId="0B4A584F" w14:textId="3CC7994A" w:rsidR="007A37D4" w:rsidRPr="00797985" w:rsidRDefault="006D2E83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Dokumenty wskazane w punkcie 6</w:t>
      </w:r>
      <w:r w:rsidR="00864008">
        <w:rPr>
          <w:rFonts w:asciiTheme="minorHAnsi" w:hAnsiTheme="minorHAnsi"/>
          <w:sz w:val="22"/>
          <w:szCs w:val="22"/>
        </w:rPr>
        <w:t>.</w:t>
      </w:r>
      <w:r w:rsidRPr="00797985">
        <w:rPr>
          <w:rFonts w:asciiTheme="minorHAnsi" w:hAnsiTheme="minorHAnsi"/>
          <w:sz w:val="22"/>
          <w:szCs w:val="22"/>
        </w:rPr>
        <w:t xml:space="preserve"> Szacowania wartości zamówienia (Formularz szacowania wartości zamówie</w:t>
      </w:r>
      <w:r w:rsidR="002C4F65">
        <w:rPr>
          <w:rFonts w:asciiTheme="minorHAnsi" w:hAnsiTheme="minorHAnsi"/>
          <w:sz w:val="22"/>
          <w:szCs w:val="22"/>
        </w:rPr>
        <w:t>nia wraz z załącznikami) należy</w:t>
      </w:r>
      <w:r w:rsidRPr="00797985">
        <w:rPr>
          <w:rFonts w:asciiTheme="minorHAnsi" w:hAnsiTheme="minorHAnsi"/>
          <w:sz w:val="22"/>
          <w:szCs w:val="22"/>
        </w:rPr>
        <w:t xml:space="preserve"> wysłać mailem na adres</w:t>
      </w:r>
      <w:r w:rsidR="00CB6F57" w:rsidRPr="00797985">
        <w:rPr>
          <w:rFonts w:asciiTheme="minorHAnsi" w:hAnsiTheme="minorHAnsi"/>
          <w:sz w:val="22"/>
          <w:szCs w:val="22"/>
        </w:rPr>
        <w:t>:</w:t>
      </w:r>
      <w:r w:rsidR="00134E94" w:rsidRPr="00797985">
        <w:rPr>
          <w:rFonts w:asciiTheme="minorHAnsi" w:hAnsiTheme="minorHAnsi"/>
          <w:sz w:val="22"/>
          <w:szCs w:val="22"/>
        </w:rPr>
        <w:t xml:space="preserve"> </w:t>
      </w:r>
      <w:hyperlink r:id="rId8" w:history="1">
        <w:r w:rsidR="008C5E6B" w:rsidRPr="00797985">
          <w:rPr>
            <w:rStyle w:val="Hipercze"/>
            <w:rFonts w:asciiTheme="minorHAnsi" w:hAnsiTheme="minorHAnsi"/>
            <w:sz w:val="22"/>
            <w:szCs w:val="22"/>
          </w:rPr>
          <w:t>iwona.josinska@wsb.wroclaw.pl</w:t>
        </w:r>
      </w:hyperlink>
      <w:r w:rsidRPr="00797985">
        <w:rPr>
          <w:rFonts w:asciiTheme="minorHAnsi" w:hAnsiTheme="minorHAnsi"/>
          <w:sz w:val="22"/>
          <w:szCs w:val="22"/>
        </w:rPr>
        <w:t xml:space="preserve">  </w:t>
      </w:r>
      <w:r w:rsidR="000D5709">
        <w:rPr>
          <w:rFonts w:asciiTheme="minorHAnsi" w:hAnsiTheme="minorHAnsi"/>
          <w:sz w:val="22"/>
          <w:szCs w:val="22"/>
        </w:rPr>
        <w:t>do </w:t>
      </w:r>
      <w:r w:rsidR="00A25FF2" w:rsidRPr="00797985">
        <w:rPr>
          <w:rFonts w:asciiTheme="minorHAnsi" w:hAnsiTheme="minorHAnsi"/>
          <w:sz w:val="22"/>
          <w:szCs w:val="22"/>
        </w:rPr>
        <w:t xml:space="preserve">dnia </w:t>
      </w:r>
      <w:r w:rsidR="00A25FF2" w:rsidRPr="00CC00EA">
        <w:rPr>
          <w:rFonts w:asciiTheme="minorHAnsi" w:hAnsiTheme="minorHAnsi"/>
          <w:b/>
          <w:sz w:val="22"/>
          <w:szCs w:val="22"/>
        </w:rPr>
        <w:t>19</w:t>
      </w:r>
      <w:r w:rsidR="00CC00EA">
        <w:rPr>
          <w:rFonts w:asciiTheme="minorHAnsi" w:hAnsiTheme="minorHAnsi"/>
          <w:b/>
          <w:sz w:val="22"/>
          <w:szCs w:val="22"/>
        </w:rPr>
        <w:t>.06.2018 roku do godziny 15</w:t>
      </w:r>
      <w:r w:rsidR="00A25FF2" w:rsidRPr="00CC00EA">
        <w:rPr>
          <w:rFonts w:asciiTheme="minorHAnsi" w:hAnsiTheme="minorHAnsi"/>
          <w:b/>
          <w:sz w:val="22"/>
          <w:szCs w:val="22"/>
        </w:rPr>
        <w:t>:00</w:t>
      </w:r>
      <w:r w:rsidR="00A25FF2">
        <w:rPr>
          <w:rFonts w:asciiTheme="minorHAnsi" w:hAnsiTheme="minorHAnsi"/>
          <w:sz w:val="22"/>
          <w:szCs w:val="22"/>
        </w:rPr>
        <w:t>.</w:t>
      </w:r>
    </w:p>
    <w:p w14:paraId="143AA2CA" w14:textId="15B1CD7E" w:rsidR="006D2E83" w:rsidRPr="00797985" w:rsidRDefault="006D2E83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PROSI SIĘ O WYSYŁANIE WIADOMOŚCI O WIELKOŚCI MAKSYMALNIE 10MB. W PRZYPADKU PRZEKROCZENIA TEJ WIELKOŚCI NALEŻY WYSYŁAĆ WIADOMOŚCI W DWÓCH LUB W TRZECH E-MAILACH.</w:t>
      </w:r>
    </w:p>
    <w:p w14:paraId="6C86D29A" w14:textId="77777777" w:rsidR="007A37D4" w:rsidRPr="00797985" w:rsidRDefault="007A37D4" w:rsidP="002B2577">
      <w:pPr>
        <w:jc w:val="both"/>
        <w:rPr>
          <w:rFonts w:asciiTheme="minorHAnsi" w:hAnsiTheme="minorHAnsi"/>
          <w:sz w:val="22"/>
          <w:szCs w:val="22"/>
        </w:rPr>
      </w:pPr>
    </w:p>
    <w:p w14:paraId="2883D1E3" w14:textId="77777777" w:rsidR="006D2E83" w:rsidRPr="00797985" w:rsidRDefault="006D2E83" w:rsidP="002B2577">
      <w:pPr>
        <w:jc w:val="both"/>
        <w:rPr>
          <w:rFonts w:asciiTheme="minorHAnsi" w:hAnsiTheme="minorHAnsi"/>
          <w:sz w:val="22"/>
          <w:szCs w:val="22"/>
        </w:rPr>
      </w:pPr>
      <w:r w:rsidRPr="00797985">
        <w:rPr>
          <w:rFonts w:asciiTheme="minorHAnsi" w:hAnsiTheme="minorHAnsi"/>
          <w:sz w:val="22"/>
          <w:szCs w:val="22"/>
        </w:rPr>
        <w:t>Wykonawca ponosi wszelkie koszty związane z przygotowaniem i złożeniem Formularza szacowania wartości zamówienia. Zamawiający nie przewiduje zwrotu kosztów udziału w postępowaniu. Formularz szacowania wartości zamówienia zatrzymuje Zamawiający.</w:t>
      </w:r>
    </w:p>
    <w:p w14:paraId="6E31E8DB" w14:textId="77777777" w:rsidR="009D38BA" w:rsidRPr="00797985" w:rsidRDefault="009D38BA" w:rsidP="002B2577">
      <w:pPr>
        <w:shd w:val="clear" w:color="auto" w:fill="FFFFFF"/>
        <w:jc w:val="both"/>
        <w:rPr>
          <w:rFonts w:asciiTheme="minorHAnsi" w:eastAsia="Calibri" w:hAnsiTheme="minorHAnsi"/>
          <w:b/>
          <w:bCs/>
          <w:sz w:val="22"/>
          <w:szCs w:val="22"/>
          <w:bdr w:val="none" w:sz="0" w:space="0" w:color="auto" w:frame="1"/>
        </w:rPr>
      </w:pPr>
    </w:p>
    <w:p w14:paraId="6417B546" w14:textId="77777777" w:rsidR="006D2E83" w:rsidRDefault="006D2E83" w:rsidP="002B2577">
      <w:pPr>
        <w:pStyle w:val="Akapitzlist"/>
        <w:numPr>
          <w:ilvl w:val="0"/>
          <w:numId w:val="19"/>
        </w:numPr>
        <w:ind w:left="567" w:hanging="567"/>
        <w:jc w:val="both"/>
        <w:rPr>
          <w:rFonts w:asciiTheme="minorHAnsi" w:hAnsiTheme="minorHAnsi"/>
          <w:b/>
          <w:sz w:val="22"/>
          <w:szCs w:val="22"/>
        </w:rPr>
      </w:pPr>
      <w:r w:rsidRPr="00797985">
        <w:rPr>
          <w:rFonts w:asciiTheme="minorHAnsi" w:hAnsiTheme="minorHAnsi"/>
          <w:b/>
          <w:sz w:val="22"/>
          <w:szCs w:val="22"/>
        </w:rPr>
        <w:t>Załączniki do Szacowania wartości zamówienia:</w:t>
      </w:r>
    </w:p>
    <w:p w14:paraId="69D0E09D" w14:textId="77777777" w:rsidR="005F43E8" w:rsidRPr="00797985" w:rsidRDefault="005F43E8" w:rsidP="005F43E8">
      <w:pPr>
        <w:pStyle w:val="Akapitzlist"/>
        <w:ind w:left="567"/>
        <w:jc w:val="both"/>
        <w:rPr>
          <w:rFonts w:asciiTheme="minorHAnsi" w:hAnsiTheme="minorHAnsi"/>
          <w:b/>
          <w:sz w:val="22"/>
          <w:szCs w:val="22"/>
        </w:rPr>
      </w:pPr>
    </w:p>
    <w:p w14:paraId="7C922707" w14:textId="6DA4A328" w:rsidR="006D2E83" w:rsidRPr="00797985" w:rsidRDefault="006D2E83" w:rsidP="003F7DC9">
      <w:pPr>
        <w:numPr>
          <w:ilvl w:val="0"/>
          <w:numId w:val="15"/>
        </w:numPr>
        <w:spacing w:line="270" w:lineRule="atLeast"/>
        <w:ind w:left="709" w:hanging="141"/>
        <w:jc w:val="both"/>
        <w:rPr>
          <w:rFonts w:asciiTheme="minorHAnsi" w:eastAsia="Times New Roman" w:hAnsiTheme="minorHAnsi"/>
          <w:sz w:val="22"/>
          <w:szCs w:val="22"/>
        </w:rPr>
      </w:pPr>
      <w:r w:rsidRPr="00797985">
        <w:rPr>
          <w:rFonts w:asciiTheme="minorHAnsi" w:eastAsia="Times New Roman" w:hAnsiTheme="minorHAnsi"/>
          <w:sz w:val="22"/>
          <w:szCs w:val="22"/>
        </w:rPr>
        <w:t>Załącznik nr 1 do Szacowania wartości zamówienia nr</w:t>
      </w:r>
      <w:r w:rsidR="0017663B">
        <w:rPr>
          <w:rFonts w:asciiTheme="minorHAnsi" w:eastAsia="Times New Roman" w:hAnsiTheme="minorHAnsi"/>
          <w:sz w:val="22"/>
          <w:szCs w:val="22"/>
        </w:rPr>
        <w:t xml:space="preserve"> </w:t>
      </w:r>
      <w:r w:rsidR="0017663B" w:rsidRPr="0017663B">
        <w:rPr>
          <w:rFonts w:asciiTheme="minorHAnsi" w:eastAsia="Times New Roman" w:hAnsiTheme="minorHAnsi"/>
          <w:sz w:val="22"/>
          <w:szCs w:val="22"/>
        </w:rPr>
        <w:t>01/06/2018/</w:t>
      </w:r>
      <w:r w:rsidR="002C4F65">
        <w:rPr>
          <w:rFonts w:asciiTheme="minorHAnsi" w:eastAsia="Times New Roman" w:hAnsiTheme="minorHAnsi"/>
          <w:sz w:val="22"/>
          <w:szCs w:val="22"/>
        </w:rPr>
        <w:t>Z004/</w:t>
      </w:r>
      <w:r w:rsidR="0017663B" w:rsidRPr="0017663B">
        <w:rPr>
          <w:rFonts w:asciiTheme="minorHAnsi" w:eastAsia="Times New Roman" w:hAnsiTheme="minorHAnsi"/>
          <w:sz w:val="22"/>
          <w:szCs w:val="22"/>
        </w:rPr>
        <w:t xml:space="preserve">80/IJ/S </w:t>
      </w:r>
      <w:r w:rsidRPr="00797985">
        <w:rPr>
          <w:rFonts w:asciiTheme="minorHAnsi" w:eastAsia="Times New Roman" w:hAnsiTheme="minorHAnsi"/>
          <w:sz w:val="22"/>
          <w:szCs w:val="22"/>
        </w:rPr>
        <w:t>- </w:t>
      </w:r>
      <w:r w:rsidRPr="003D296A">
        <w:rPr>
          <w:rFonts w:asciiTheme="minorHAnsi" w:eastAsia="Times New Roman" w:hAnsiTheme="minorHAnsi"/>
          <w:b/>
          <w:sz w:val="22"/>
          <w:szCs w:val="22"/>
          <w:bdr w:val="none" w:sz="0" w:space="0" w:color="auto" w:frame="1"/>
        </w:rPr>
        <w:t>Formularz szacowania wartości zamówienia</w:t>
      </w:r>
      <w:r w:rsidRPr="00797985">
        <w:rPr>
          <w:rFonts w:asciiTheme="minorHAnsi" w:eastAsia="Times New Roman" w:hAnsiTheme="minorHAnsi"/>
          <w:sz w:val="22"/>
          <w:szCs w:val="22"/>
          <w:bdr w:val="none" w:sz="0" w:space="0" w:color="auto" w:frame="1"/>
        </w:rPr>
        <w:t>.</w:t>
      </w:r>
    </w:p>
    <w:p w14:paraId="0DF02744" w14:textId="60A9AE30" w:rsidR="006D2E83" w:rsidRPr="00797985" w:rsidRDefault="006D2E83" w:rsidP="003F7DC9">
      <w:pPr>
        <w:numPr>
          <w:ilvl w:val="0"/>
          <w:numId w:val="15"/>
        </w:numPr>
        <w:spacing w:line="270" w:lineRule="atLeast"/>
        <w:ind w:left="709" w:hanging="141"/>
        <w:jc w:val="both"/>
        <w:rPr>
          <w:rFonts w:asciiTheme="minorHAnsi" w:eastAsia="Times New Roman" w:hAnsiTheme="minorHAnsi"/>
          <w:sz w:val="22"/>
          <w:szCs w:val="22"/>
        </w:rPr>
      </w:pPr>
      <w:r w:rsidRPr="00797985">
        <w:rPr>
          <w:rFonts w:asciiTheme="minorHAnsi" w:eastAsia="Times New Roman" w:hAnsiTheme="minorHAnsi"/>
          <w:sz w:val="22"/>
          <w:szCs w:val="22"/>
        </w:rPr>
        <w:t xml:space="preserve">Załącznik nr 2 do Szacowania wartości zamówienia nr </w:t>
      </w:r>
      <w:r w:rsidR="0017663B" w:rsidRPr="0017663B">
        <w:rPr>
          <w:rFonts w:asciiTheme="minorHAnsi" w:eastAsia="Times New Roman" w:hAnsiTheme="minorHAnsi"/>
          <w:sz w:val="22"/>
          <w:szCs w:val="22"/>
        </w:rPr>
        <w:t>01/06/2018/</w:t>
      </w:r>
      <w:r w:rsidR="002C4F65">
        <w:rPr>
          <w:rFonts w:asciiTheme="minorHAnsi" w:eastAsia="Times New Roman" w:hAnsiTheme="minorHAnsi"/>
          <w:sz w:val="22"/>
          <w:szCs w:val="22"/>
        </w:rPr>
        <w:t>Z004/</w:t>
      </w:r>
      <w:r w:rsidR="0017663B" w:rsidRPr="0017663B">
        <w:rPr>
          <w:rFonts w:asciiTheme="minorHAnsi" w:eastAsia="Times New Roman" w:hAnsiTheme="minorHAnsi"/>
          <w:sz w:val="22"/>
          <w:szCs w:val="22"/>
        </w:rPr>
        <w:t xml:space="preserve">80/IJ/S </w:t>
      </w:r>
      <w:r w:rsidRPr="00797985">
        <w:rPr>
          <w:rFonts w:asciiTheme="minorHAnsi" w:eastAsia="Times New Roman" w:hAnsiTheme="minorHAnsi"/>
          <w:sz w:val="22"/>
          <w:szCs w:val="22"/>
        </w:rPr>
        <w:t>- </w:t>
      </w:r>
      <w:hyperlink r:id="rId9" w:history="1">
        <w:r w:rsidRPr="003D296A">
          <w:rPr>
            <w:rFonts w:asciiTheme="minorHAnsi" w:eastAsia="Times New Roman" w:hAnsiTheme="minorHAnsi"/>
            <w:b/>
            <w:sz w:val="22"/>
            <w:szCs w:val="22"/>
            <w:bdr w:val="none" w:sz="0" w:space="0" w:color="auto" w:frame="1"/>
          </w:rPr>
          <w:t>Oświadczenie o braku wzajemnych powiązań kapitałowych lub osobowych Wykonawcy i Zamawiającego.</w:t>
        </w:r>
      </w:hyperlink>
    </w:p>
    <w:sectPr w:rsidR="006D2E83" w:rsidRPr="00797985" w:rsidSect="006F2250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3842F" w14:textId="77777777" w:rsidR="003550E3" w:rsidRDefault="003550E3" w:rsidP="003550E3">
      <w:r>
        <w:separator/>
      </w:r>
    </w:p>
  </w:endnote>
  <w:endnote w:type="continuationSeparator" w:id="0">
    <w:p w14:paraId="63CDD276" w14:textId="77777777" w:rsidR="003550E3" w:rsidRDefault="003550E3" w:rsidP="00355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D5A00" w14:textId="77777777" w:rsidR="003550E3" w:rsidRDefault="003550E3" w:rsidP="003550E3">
      <w:r>
        <w:separator/>
      </w:r>
    </w:p>
  </w:footnote>
  <w:footnote w:type="continuationSeparator" w:id="0">
    <w:p w14:paraId="5498CA36" w14:textId="77777777" w:rsidR="003550E3" w:rsidRDefault="003550E3" w:rsidP="00355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6C1F6" w14:textId="60EFB1C6" w:rsidR="003550E3" w:rsidRDefault="003550E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83D8C3" wp14:editId="4FA251BE">
          <wp:simplePos x="0" y="0"/>
          <wp:positionH relativeFrom="column">
            <wp:posOffset>-490220</wp:posOffset>
          </wp:positionH>
          <wp:positionV relativeFrom="paragraph">
            <wp:posOffset>-221615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C5A"/>
    <w:multiLevelType w:val="multilevel"/>
    <w:tmpl w:val="C468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97483D"/>
    <w:multiLevelType w:val="multilevel"/>
    <w:tmpl w:val="44CEE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D51766"/>
    <w:multiLevelType w:val="multilevel"/>
    <w:tmpl w:val="E40C2FA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812664"/>
    <w:multiLevelType w:val="hybridMultilevel"/>
    <w:tmpl w:val="20687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F6103"/>
    <w:multiLevelType w:val="hybridMultilevel"/>
    <w:tmpl w:val="E4EA6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A4CD7"/>
    <w:multiLevelType w:val="multilevel"/>
    <w:tmpl w:val="24E8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768D9"/>
    <w:multiLevelType w:val="multilevel"/>
    <w:tmpl w:val="148EF19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8">
    <w:nsid w:val="263C1156"/>
    <w:multiLevelType w:val="hybridMultilevel"/>
    <w:tmpl w:val="8A9016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9B6"/>
    <w:multiLevelType w:val="hybridMultilevel"/>
    <w:tmpl w:val="C2EC9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4821F3"/>
    <w:multiLevelType w:val="hybridMultilevel"/>
    <w:tmpl w:val="EFFC5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56FA3"/>
    <w:multiLevelType w:val="hybridMultilevel"/>
    <w:tmpl w:val="1E062E8A"/>
    <w:lvl w:ilvl="0" w:tplc="97F2BC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E5215C0"/>
    <w:multiLevelType w:val="multilevel"/>
    <w:tmpl w:val="45EE2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BB21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817FDF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405428A"/>
    <w:multiLevelType w:val="multilevel"/>
    <w:tmpl w:val="B616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8603CD"/>
    <w:multiLevelType w:val="hybridMultilevel"/>
    <w:tmpl w:val="D9B807D6"/>
    <w:lvl w:ilvl="0" w:tplc="53BCB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AC1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18">
    <w:nsid w:val="51277896"/>
    <w:multiLevelType w:val="multilevel"/>
    <w:tmpl w:val="CA4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43399B"/>
    <w:multiLevelType w:val="multilevel"/>
    <w:tmpl w:val="15DE5D70"/>
    <w:lvl w:ilvl="0">
      <w:start w:val="1"/>
      <w:numFmt w:val="none"/>
      <w:lvlText w:val="9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6DC0100"/>
    <w:multiLevelType w:val="multilevel"/>
    <w:tmpl w:val="31084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7698B"/>
    <w:multiLevelType w:val="hybridMultilevel"/>
    <w:tmpl w:val="8510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7B1DD5"/>
    <w:multiLevelType w:val="multilevel"/>
    <w:tmpl w:val="0EBC9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98047D6"/>
    <w:multiLevelType w:val="multilevel"/>
    <w:tmpl w:val="2436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D9671B"/>
    <w:multiLevelType w:val="multilevel"/>
    <w:tmpl w:val="63A0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B604D2"/>
    <w:multiLevelType w:val="multilevel"/>
    <w:tmpl w:val="613A5F32"/>
    <w:lvl w:ilvl="0">
      <w:start w:val="9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644A2C63"/>
    <w:multiLevelType w:val="multilevel"/>
    <w:tmpl w:val="1630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2F038C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DB788D"/>
    <w:multiLevelType w:val="multilevel"/>
    <w:tmpl w:val="0846B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E34447"/>
    <w:multiLevelType w:val="multilevel"/>
    <w:tmpl w:val="5A32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A06D68"/>
    <w:multiLevelType w:val="multilevel"/>
    <w:tmpl w:val="1E120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E2615A"/>
    <w:multiLevelType w:val="multilevel"/>
    <w:tmpl w:val="1C3A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847F61"/>
    <w:multiLevelType w:val="multilevel"/>
    <w:tmpl w:val="018239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sz w:val="22"/>
        <w:szCs w:val="22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7A025F16"/>
    <w:multiLevelType w:val="hybridMultilevel"/>
    <w:tmpl w:val="25905FBC"/>
    <w:lvl w:ilvl="0" w:tplc="AF922468">
      <w:start w:val="1"/>
      <w:numFmt w:val="none"/>
      <w:lvlText w:val="9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D0E47F0"/>
    <w:multiLevelType w:val="multilevel"/>
    <w:tmpl w:val="DFB6E7C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DE64203"/>
    <w:multiLevelType w:val="multilevel"/>
    <w:tmpl w:val="7D4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0"/>
  </w:num>
  <w:num w:numId="4">
    <w:abstractNumId w:val="23"/>
  </w:num>
  <w:num w:numId="5">
    <w:abstractNumId w:val="1"/>
  </w:num>
  <w:num w:numId="6">
    <w:abstractNumId w:val="20"/>
  </w:num>
  <w:num w:numId="7">
    <w:abstractNumId w:val="6"/>
  </w:num>
  <w:num w:numId="8">
    <w:abstractNumId w:val="18"/>
  </w:num>
  <w:num w:numId="9">
    <w:abstractNumId w:val="12"/>
  </w:num>
  <w:num w:numId="10">
    <w:abstractNumId w:val="28"/>
  </w:num>
  <w:num w:numId="11">
    <w:abstractNumId w:val="26"/>
  </w:num>
  <w:num w:numId="12">
    <w:abstractNumId w:val="2"/>
  </w:num>
  <w:num w:numId="13">
    <w:abstractNumId w:val="24"/>
  </w:num>
  <w:num w:numId="14">
    <w:abstractNumId w:val="35"/>
  </w:num>
  <w:num w:numId="15">
    <w:abstractNumId w:val="7"/>
  </w:num>
  <w:num w:numId="16">
    <w:abstractNumId w:val="10"/>
  </w:num>
  <w:num w:numId="17">
    <w:abstractNumId w:val="8"/>
  </w:num>
  <w:num w:numId="18">
    <w:abstractNumId w:val="33"/>
  </w:num>
  <w:num w:numId="19">
    <w:abstractNumId w:val="32"/>
  </w:num>
  <w:num w:numId="20">
    <w:abstractNumId w:val="9"/>
  </w:num>
  <w:num w:numId="21">
    <w:abstractNumId w:val="21"/>
  </w:num>
  <w:num w:numId="22">
    <w:abstractNumId w:val="4"/>
  </w:num>
  <w:num w:numId="23">
    <w:abstractNumId w:val="16"/>
  </w:num>
  <w:num w:numId="24">
    <w:abstractNumId w:val="14"/>
  </w:num>
  <w:num w:numId="25">
    <w:abstractNumId w:val="13"/>
  </w:num>
  <w:num w:numId="26">
    <w:abstractNumId w:val="5"/>
  </w:num>
  <w:num w:numId="27">
    <w:abstractNumId w:val="27"/>
  </w:num>
  <w:num w:numId="28">
    <w:abstractNumId w:val="3"/>
  </w:num>
  <w:num w:numId="29">
    <w:abstractNumId w:val="22"/>
  </w:num>
  <w:num w:numId="30">
    <w:abstractNumId w:val="25"/>
  </w:num>
  <w:num w:numId="31">
    <w:abstractNumId w:val="19"/>
  </w:num>
  <w:num w:numId="32">
    <w:abstractNumId w:val="34"/>
  </w:num>
  <w:num w:numId="33">
    <w:abstractNumId w:val="11"/>
  </w:num>
  <w:num w:numId="34">
    <w:abstractNumId w:val="31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16"/>
    <w:rsid w:val="00016367"/>
    <w:rsid w:val="00024A56"/>
    <w:rsid w:val="000A6616"/>
    <w:rsid w:val="000D2AA0"/>
    <w:rsid w:val="000D5709"/>
    <w:rsid w:val="000E2167"/>
    <w:rsid w:val="00107031"/>
    <w:rsid w:val="00134E94"/>
    <w:rsid w:val="00135BD1"/>
    <w:rsid w:val="0014619D"/>
    <w:rsid w:val="00151FAC"/>
    <w:rsid w:val="00152975"/>
    <w:rsid w:val="00166BF5"/>
    <w:rsid w:val="0017663B"/>
    <w:rsid w:val="001C52A1"/>
    <w:rsid w:val="00206795"/>
    <w:rsid w:val="00230278"/>
    <w:rsid w:val="00270385"/>
    <w:rsid w:val="00273B2B"/>
    <w:rsid w:val="002B2577"/>
    <w:rsid w:val="002B38C3"/>
    <w:rsid w:val="002C4F65"/>
    <w:rsid w:val="002D069C"/>
    <w:rsid w:val="00323A3E"/>
    <w:rsid w:val="00325C0F"/>
    <w:rsid w:val="0033223C"/>
    <w:rsid w:val="00353969"/>
    <w:rsid w:val="003550E3"/>
    <w:rsid w:val="003D296A"/>
    <w:rsid w:val="003E3E02"/>
    <w:rsid w:val="003E5033"/>
    <w:rsid w:val="003F7DC9"/>
    <w:rsid w:val="00406508"/>
    <w:rsid w:val="004477B2"/>
    <w:rsid w:val="00475FB2"/>
    <w:rsid w:val="00487D23"/>
    <w:rsid w:val="004D46FA"/>
    <w:rsid w:val="004F2597"/>
    <w:rsid w:val="00512FD1"/>
    <w:rsid w:val="00517207"/>
    <w:rsid w:val="005223E2"/>
    <w:rsid w:val="005408C0"/>
    <w:rsid w:val="00564450"/>
    <w:rsid w:val="005E2EE5"/>
    <w:rsid w:val="005F43E8"/>
    <w:rsid w:val="005F649A"/>
    <w:rsid w:val="00680BFC"/>
    <w:rsid w:val="00697EE8"/>
    <w:rsid w:val="006C3BD3"/>
    <w:rsid w:val="006D2E83"/>
    <w:rsid w:val="006F2250"/>
    <w:rsid w:val="0070310C"/>
    <w:rsid w:val="00707F82"/>
    <w:rsid w:val="00720571"/>
    <w:rsid w:val="00727671"/>
    <w:rsid w:val="00785D5D"/>
    <w:rsid w:val="00797985"/>
    <w:rsid w:val="007A11F2"/>
    <w:rsid w:val="007A37D4"/>
    <w:rsid w:val="007D116F"/>
    <w:rsid w:val="00803C7D"/>
    <w:rsid w:val="00864008"/>
    <w:rsid w:val="0087145B"/>
    <w:rsid w:val="00874DED"/>
    <w:rsid w:val="008864D4"/>
    <w:rsid w:val="00893852"/>
    <w:rsid w:val="008C5E6B"/>
    <w:rsid w:val="008E5249"/>
    <w:rsid w:val="008E5E04"/>
    <w:rsid w:val="009063FA"/>
    <w:rsid w:val="00917299"/>
    <w:rsid w:val="009316E8"/>
    <w:rsid w:val="009A4577"/>
    <w:rsid w:val="009D38BA"/>
    <w:rsid w:val="00A25FF2"/>
    <w:rsid w:val="00A27B2C"/>
    <w:rsid w:val="00A56D21"/>
    <w:rsid w:val="00A63999"/>
    <w:rsid w:val="00A82DC6"/>
    <w:rsid w:val="00A9295B"/>
    <w:rsid w:val="00AA3EA9"/>
    <w:rsid w:val="00AF28D4"/>
    <w:rsid w:val="00AF438B"/>
    <w:rsid w:val="00B3309C"/>
    <w:rsid w:val="00BA0C5F"/>
    <w:rsid w:val="00BA54B9"/>
    <w:rsid w:val="00BE4BB1"/>
    <w:rsid w:val="00C02A9F"/>
    <w:rsid w:val="00C11BDA"/>
    <w:rsid w:val="00C363A7"/>
    <w:rsid w:val="00C673CD"/>
    <w:rsid w:val="00C72F57"/>
    <w:rsid w:val="00C8259B"/>
    <w:rsid w:val="00CB6F57"/>
    <w:rsid w:val="00CC00EA"/>
    <w:rsid w:val="00CD4C62"/>
    <w:rsid w:val="00D20731"/>
    <w:rsid w:val="00D47187"/>
    <w:rsid w:val="00D7171D"/>
    <w:rsid w:val="00D72D0F"/>
    <w:rsid w:val="00DA7921"/>
    <w:rsid w:val="00DE0A50"/>
    <w:rsid w:val="00DE1484"/>
    <w:rsid w:val="00DF0101"/>
    <w:rsid w:val="00E05D47"/>
    <w:rsid w:val="00E14C38"/>
    <w:rsid w:val="00E15D9D"/>
    <w:rsid w:val="00E3454E"/>
    <w:rsid w:val="00EC756B"/>
    <w:rsid w:val="00EE277F"/>
    <w:rsid w:val="00EE62C5"/>
    <w:rsid w:val="00F444FA"/>
    <w:rsid w:val="00F51C12"/>
    <w:rsid w:val="00FA61D7"/>
    <w:rsid w:val="00FB611F"/>
    <w:rsid w:val="00FC1560"/>
    <w:rsid w:val="00FC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8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84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F57"/>
    <w:rPr>
      <w:color w:val="0563C1" w:themeColor="hyperlink"/>
      <w:u w:val="single"/>
    </w:rPr>
  </w:style>
  <w:style w:type="paragraph" w:customStyle="1" w:styleId="Default">
    <w:name w:val="Default"/>
    <w:rsid w:val="00C363A7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E14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4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5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E3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E3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84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B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6F57"/>
    <w:rPr>
      <w:color w:val="0563C1" w:themeColor="hyperlink"/>
      <w:u w:val="single"/>
    </w:rPr>
  </w:style>
  <w:style w:type="paragraph" w:customStyle="1" w:styleId="Default">
    <w:name w:val="Default"/>
    <w:rsid w:val="00C363A7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DE148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E14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55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50E3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55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50E3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josinska@wsb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sb.pl/wroclaw/sites/wsb.pl.wroclaw/files/default_images/zalacznik_nr_2_-_oswiadczenie_o_braku_powiazan_do_szacowania_2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2625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Biblioteka WSB</cp:lastModifiedBy>
  <cp:revision>105</cp:revision>
  <dcterms:created xsi:type="dcterms:W3CDTF">2018-06-12T13:42:00Z</dcterms:created>
  <dcterms:modified xsi:type="dcterms:W3CDTF">2018-06-15T10:12:00Z</dcterms:modified>
</cp:coreProperties>
</file>