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jc w:val="right"/>
      </w:pPr>
      <w:r w:rsidRPr="005D4E6D">
        <w:t xml:space="preserve">Dnia </w:t>
      </w:r>
      <w:r w:rsidR="005E0799" w:rsidRPr="005D4E6D">
        <w:t>02</w:t>
      </w:r>
      <w:r w:rsidRPr="005D4E6D">
        <w:t>.0</w:t>
      </w:r>
      <w:r w:rsidR="005E0799" w:rsidRPr="005D4E6D">
        <w:t>7</w:t>
      </w:r>
      <w:r w:rsidRPr="005D4E6D">
        <w:t>.2018 r.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AA5CFD" w:rsidRPr="005D4E6D" w:rsidRDefault="00AA5CFD" w:rsidP="00AA5CFD">
      <w:pPr>
        <w:spacing w:after="0" w:line="240" w:lineRule="auto"/>
        <w:jc w:val="center"/>
        <w:rPr>
          <w:rStyle w:val="Hyperlink1"/>
        </w:rPr>
      </w:pPr>
      <w:r w:rsidRPr="005D4E6D">
        <w:rPr>
          <w:rStyle w:val="Hyperlink1"/>
        </w:rPr>
        <w:t xml:space="preserve">Szacowanie wartości zamówienia nr </w:t>
      </w:r>
      <w:r w:rsidR="009177CA" w:rsidRPr="005D4E6D">
        <w:rPr>
          <w:rStyle w:val="Hyperlink1"/>
        </w:rPr>
        <w:t>01/07/2018/Z004/136/IJ/S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W związku z powyższym, Zamawiający zwraca się z prośbą o oszacowanie wartości zamówienia opisanego w pkt 2 poniżej. </w:t>
      </w:r>
    </w:p>
    <w:p w:rsidR="0023135F" w:rsidRPr="005D4E6D" w:rsidRDefault="00AA5CFD" w:rsidP="00AA5CFD">
      <w:pPr>
        <w:spacing w:after="0" w:line="240" w:lineRule="auto"/>
        <w:jc w:val="both"/>
        <w:rPr>
          <w:b/>
          <w:bCs/>
        </w:rPr>
      </w:pPr>
      <w:r w:rsidRPr="005D4E6D">
        <w:rPr>
          <w:rStyle w:val="Hyperlink1"/>
          <w:b w:val="0"/>
        </w:rPr>
        <w:t>Niniejsza prośba nie stanowi procedury zasady konkurencyjności, a odpowiedź uzyskana przez Zamawiającego w procedurze szacowania nie będzie przez Zamawiającego traktowana jako oferta.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Zamawiający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rPr>
          <w:rStyle w:val="Hyperlink1"/>
        </w:rPr>
        <w:t xml:space="preserve">Wyższa Szkoła Bankowa we Wrocławiu, </w:t>
      </w:r>
      <w:r w:rsidRPr="005D4E6D">
        <w:t xml:space="preserve">ul. Fabryczna 29-31; 53-609 Wrocław, wpisana do Rejestru Uczelni Niepublicznych i Związków Uczelni Niepublicznych pod numerem 146, </w:t>
      </w:r>
    </w:p>
    <w:p w:rsidR="00026427" w:rsidRPr="005D4E6D" w:rsidRDefault="00026427" w:rsidP="005F7825">
      <w:pPr>
        <w:spacing w:after="0" w:line="240" w:lineRule="auto"/>
        <w:ind w:left="567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Opis przedmiotu zamówienia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 Cel zamówienia </w:t>
      </w:r>
    </w:p>
    <w:p w:rsidR="0023135F" w:rsidRPr="005D4E6D" w:rsidRDefault="0023135F" w:rsidP="005F7825">
      <w:pPr>
        <w:spacing w:after="0"/>
        <w:ind w:left="567"/>
        <w:jc w:val="both"/>
      </w:pPr>
    </w:p>
    <w:p w:rsidR="0023135F" w:rsidRPr="005D4E6D" w:rsidRDefault="00F418B9" w:rsidP="005F7825">
      <w:pPr>
        <w:spacing w:after="0"/>
        <w:ind w:left="567"/>
        <w:jc w:val="both"/>
      </w:pPr>
      <w:r w:rsidRPr="005D4E6D">
        <w:t>Celem zamówienia jest rozbudowa i wymiana posiadanej infrastruktury serwerowej obsługującej sieć dydaktyczną na Wydziale Ekonomicznym w Opolu o kolejne dwa serwery.</w:t>
      </w:r>
      <w:r w:rsidR="00621B40" w:rsidRPr="005D4E6D">
        <w:t>.</w:t>
      </w:r>
    </w:p>
    <w:p w:rsidR="00F418B9" w:rsidRPr="005D4E6D" w:rsidRDefault="00F418B9" w:rsidP="005F7825">
      <w:pPr>
        <w:spacing w:after="0"/>
        <w:ind w:left="567"/>
        <w:jc w:val="both"/>
      </w:pPr>
    </w:p>
    <w:p w:rsidR="0023135F" w:rsidRPr="005D4E6D" w:rsidRDefault="00621B40" w:rsidP="005F7825">
      <w:pPr>
        <w:spacing w:after="0"/>
        <w:ind w:left="567"/>
        <w:jc w:val="both"/>
        <w:rPr>
          <w:rStyle w:val="Hyperlink1"/>
        </w:rPr>
      </w:pPr>
      <w:r w:rsidRPr="005D4E6D">
        <w:t xml:space="preserve">Zamówienie będzie realizowane w ramach projektu współfinansowanego Europejskiego Funduszu Społecznego: </w:t>
      </w:r>
      <w:r w:rsidRPr="005D4E6D">
        <w:rPr>
          <w:rStyle w:val="Hyperlink1"/>
        </w:rPr>
        <w:t>INFORMATYZACJA, UMIĘDZYNARODOWIENIE, PRAKTYCZNOŚĆ - filary Zintegrowanego Programu Uczelni w Wyższej Szkole Bankowej we Wrocławiu, POWR.03.05.00-00-Z004/17.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Przedmiot zamówienia  </w:t>
      </w:r>
    </w:p>
    <w:p w:rsidR="0023135F" w:rsidRPr="005D4E6D" w:rsidRDefault="0023135F" w:rsidP="005F7825">
      <w:pPr>
        <w:spacing w:after="0"/>
        <w:ind w:left="567"/>
        <w:jc w:val="both"/>
      </w:pPr>
    </w:p>
    <w:p w:rsidR="007321D6" w:rsidRPr="005D4E6D" w:rsidRDefault="007321D6" w:rsidP="007321D6">
      <w:pPr>
        <w:pStyle w:val="Akapitzlist"/>
        <w:spacing w:after="0" w:line="240" w:lineRule="auto"/>
        <w:ind w:left="567"/>
      </w:pPr>
      <w:r w:rsidRPr="005D4E6D">
        <w:t>Przedmiotem zamówienia jest wyłonienie Wykonawcy w zakresie dostawy dwóch serwerów do obsługi oprogramowania bazodanowego oraz środowiska domenowego, wraz z podłączeniem i przetestowaniem dostarczonego sprzętu w miejscu dostawy.</w:t>
      </w:r>
    </w:p>
    <w:p w:rsidR="007321D6" w:rsidRPr="005D4E6D" w:rsidRDefault="007321D6" w:rsidP="00026427">
      <w:pPr>
        <w:spacing w:after="0"/>
        <w:ind w:left="567"/>
        <w:jc w:val="both"/>
      </w:pPr>
    </w:p>
    <w:p w:rsidR="00026427" w:rsidRPr="005D4E6D" w:rsidRDefault="00F418B9" w:rsidP="00026427">
      <w:pPr>
        <w:spacing w:after="0"/>
        <w:ind w:left="567"/>
        <w:jc w:val="both"/>
      </w:pPr>
      <w:r w:rsidRPr="005D4E6D">
        <w:t xml:space="preserve">W ramach dostawy Zamawiający oczekuje dostarczenia do Wydziału Ekonomicznego w Opolu Wyższej Szkoły Bankowej we Wrocławiu dwóch serwerów zgodnie z podaną specyfikacją. </w:t>
      </w:r>
    </w:p>
    <w:p w:rsidR="00026427" w:rsidRPr="005D4E6D" w:rsidRDefault="00026427" w:rsidP="00026427">
      <w:pPr>
        <w:spacing w:after="0"/>
        <w:ind w:left="567"/>
        <w:jc w:val="both"/>
      </w:pPr>
    </w:p>
    <w:p w:rsidR="0023135F" w:rsidRPr="005D4E6D" w:rsidRDefault="00F418B9" w:rsidP="00026427">
      <w:pPr>
        <w:spacing w:after="0"/>
        <w:ind w:left="567"/>
        <w:jc w:val="both"/>
      </w:pPr>
      <w:r w:rsidRPr="005D4E6D">
        <w:t xml:space="preserve">Ponadto Zamawiający oczekuje od </w:t>
      </w:r>
      <w:r w:rsidR="002A6CD2" w:rsidRPr="005D4E6D">
        <w:t>Wykonawcy</w:t>
      </w:r>
      <w:r w:rsidRPr="005D4E6D">
        <w:t xml:space="preserve"> podłączenia i przetestowania dostarczonego sprzętu w miejscu dostawy. </w:t>
      </w:r>
      <w:r w:rsidR="002A6CD2" w:rsidRPr="005D4E6D">
        <w:t>Wykonawca</w:t>
      </w:r>
      <w:r w:rsidRPr="005D4E6D">
        <w:t xml:space="preserve"> musi także zapewnić pełny 3 letni okres gwarancji serwisowej w trybie następnego dnia roboczego.</w:t>
      </w:r>
    </w:p>
    <w:p w:rsidR="00F418B9" w:rsidRPr="005D4E6D" w:rsidRDefault="00F418B9" w:rsidP="005F7825">
      <w:pPr>
        <w:spacing w:after="0"/>
        <w:jc w:val="both"/>
      </w:pPr>
    </w:p>
    <w:p w:rsidR="00561287" w:rsidRPr="005D4E6D" w:rsidRDefault="00561287" w:rsidP="005F7825">
      <w:pPr>
        <w:spacing w:after="0"/>
        <w:jc w:val="both"/>
      </w:pPr>
    </w:p>
    <w:p w:rsidR="00561287" w:rsidRPr="005D4E6D" w:rsidRDefault="00561287" w:rsidP="005F7825">
      <w:pPr>
        <w:spacing w:after="0"/>
        <w:jc w:val="both"/>
      </w:pPr>
    </w:p>
    <w:p w:rsidR="00561287" w:rsidRPr="005D4E6D" w:rsidRDefault="00561287" w:rsidP="005F7825">
      <w:pPr>
        <w:spacing w:after="0"/>
        <w:jc w:val="both"/>
      </w:pPr>
    </w:p>
    <w:p w:rsidR="0023135F" w:rsidRPr="005D4E6D" w:rsidRDefault="00621B40" w:rsidP="005F7825">
      <w:pPr>
        <w:spacing w:after="0" w:line="252" w:lineRule="auto"/>
        <w:jc w:val="both"/>
      </w:pPr>
      <w:r w:rsidRPr="005D4E6D">
        <w:lastRenderedPageBreak/>
        <w:t>Charakterystyka Zamawianego serwera</w:t>
      </w:r>
    </w:p>
    <w:tbl>
      <w:tblPr>
        <w:tblW w:w="93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469"/>
      </w:tblGrid>
      <w:tr w:rsidR="00F418B9" w:rsidRPr="005D4E6D" w:rsidTr="007C630B">
        <w:trPr>
          <w:tblHeader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Charakterystyka (wymagania minimalne)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678CA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Obudowa Tower o wysokości max 5</w:t>
            </w:r>
            <w:r w:rsidR="007678CA" w:rsidRPr="005D4E6D">
              <w:rPr>
                <w:sz w:val="20"/>
                <w:szCs w:val="20"/>
              </w:rPr>
              <w:t xml:space="preserve">U, musi mieć możliwość </w:t>
            </w:r>
            <w:r w:rsidRPr="005D4E6D">
              <w:rPr>
                <w:sz w:val="20"/>
                <w:szCs w:val="20"/>
              </w:rPr>
              <w:t>instalacji 8 dysków 2,5”/3,5”</w:t>
            </w:r>
            <w:r w:rsidRPr="005D4E6D">
              <w:rPr>
                <w:rFonts w:cs="Segoe UI"/>
                <w:sz w:val="20"/>
                <w:szCs w:val="20"/>
              </w:rPr>
              <w:t xml:space="preserve">. 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 xml:space="preserve">Płyta główna </w:t>
            </w:r>
            <w:r w:rsidR="007678CA" w:rsidRPr="005D4E6D">
              <w:rPr>
                <w:sz w:val="20"/>
                <w:szCs w:val="20"/>
              </w:rPr>
              <w:t xml:space="preserve">musi mieć możliwość </w:t>
            </w:r>
            <w:r w:rsidRPr="005D4E6D">
              <w:rPr>
                <w:sz w:val="20"/>
                <w:szCs w:val="20"/>
              </w:rPr>
              <w:t>zainstalowania do dwóch fizycznych procesorów. Płyta główna musi być zaprojektowana przez producenta serwera i oznaczona jego znakiem firmowym.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Zainstalowane dwa procesory ośmiordzeniowe x86 dedykowane do pracy z zaoferowanym serwerem, taktowanie min. 2,10 GHz, pamięć cache min 20 MB, szyna 2133 MHz, QPI 8.00 GT/s</w:t>
            </w:r>
          </w:p>
        </w:tc>
      </w:tr>
      <w:tr w:rsidR="00F418B9" w:rsidRPr="005D4E6D" w:rsidTr="007C630B">
        <w:trPr>
          <w:trHeight w:val="84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2F3190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 xml:space="preserve">2x 32GB DDR4 RDIMM 2400 MHz Dual </w:t>
            </w:r>
            <w:proofErr w:type="spellStart"/>
            <w:r w:rsidRPr="005D4E6D">
              <w:rPr>
                <w:sz w:val="20"/>
                <w:szCs w:val="20"/>
              </w:rPr>
              <w:t>Rank</w:t>
            </w:r>
            <w:proofErr w:type="spellEnd"/>
            <w:r w:rsidRPr="005D4E6D">
              <w:rPr>
                <w:sz w:val="20"/>
                <w:szCs w:val="20"/>
              </w:rPr>
              <w:t xml:space="preserve"> ECC, na płycie głównej </w:t>
            </w:r>
            <w:r w:rsidR="007678CA" w:rsidRPr="005D4E6D">
              <w:rPr>
                <w:sz w:val="20"/>
                <w:szCs w:val="20"/>
              </w:rPr>
              <w:t>musi</w:t>
            </w:r>
            <w:r w:rsidRPr="005D4E6D">
              <w:rPr>
                <w:sz w:val="20"/>
                <w:szCs w:val="20"/>
              </w:rPr>
              <w:t xml:space="preserve"> znajdować się minimum 10 wolnych slotów przeznaczonych do rozbudowy pamięci. Płyta główna </w:t>
            </w:r>
            <w:r w:rsidR="002F3190" w:rsidRPr="005D4E6D">
              <w:rPr>
                <w:sz w:val="20"/>
                <w:szCs w:val="20"/>
              </w:rPr>
              <w:t>musi</w:t>
            </w:r>
            <w:r w:rsidRPr="005D4E6D">
              <w:rPr>
                <w:sz w:val="20"/>
                <w:szCs w:val="20"/>
              </w:rPr>
              <w:t xml:space="preserve"> obsługiwać do min. 384GB pamięci RAM. Pamięci muszą być oryginalne (pochod</w:t>
            </w:r>
            <w:r w:rsidR="002F3190" w:rsidRPr="005D4E6D">
              <w:rPr>
                <w:sz w:val="20"/>
                <w:szCs w:val="20"/>
              </w:rPr>
              <w:t xml:space="preserve">zić od producenta serwera - </w:t>
            </w:r>
            <w:r w:rsidR="00A12987" w:rsidRPr="005D4E6D">
              <w:rPr>
                <w:sz w:val="20"/>
                <w:szCs w:val="20"/>
              </w:rPr>
              <w:t>nie są dopuszczalne zamienniki</w:t>
            </w:r>
            <w:r w:rsidRPr="005D4E6D">
              <w:rPr>
                <w:sz w:val="20"/>
                <w:szCs w:val="20"/>
              </w:rPr>
              <w:t>).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Porty wewnętrzne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rFonts w:cs="Segoe UI"/>
                <w:sz w:val="20"/>
                <w:szCs w:val="20"/>
              </w:rPr>
              <w:t xml:space="preserve">Min. 4x </w:t>
            </w:r>
            <w:proofErr w:type="spellStart"/>
            <w:r w:rsidRPr="005D4E6D">
              <w:rPr>
                <w:rFonts w:cs="Segoe UI"/>
                <w:sz w:val="20"/>
                <w:szCs w:val="20"/>
              </w:rPr>
              <w:t>PCIe</w:t>
            </w:r>
            <w:proofErr w:type="spellEnd"/>
            <w:r w:rsidRPr="005D4E6D">
              <w:rPr>
                <w:rFonts w:cs="Segoe UI"/>
                <w:sz w:val="20"/>
                <w:szCs w:val="20"/>
              </w:rPr>
              <w:t xml:space="preserve"> 3.0, min 2x </w:t>
            </w:r>
            <w:proofErr w:type="spellStart"/>
            <w:r w:rsidRPr="005D4E6D">
              <w:rPr>
                <w:rFonts w:cs="Segoe UI"/>
                <w:sz w:val="20"/>
                <w:szCs w:val="20"/>
              </w:rPr>
              <w:t>PCIe</w:t>
            </w:r>
            <w:proofErr w:type="spellEnd"/>
            <w:r w:rsidRPr="005D4E6D">
              <w:rPr>
                <w:rFonts w:cs="Segoe UI"/>
                <w:sz w:val="20"/>
                <w:szCs w:val="20"/>
              </w:rPr>
              <w:t xml:space="preserve"> 2.0, min.1x USB 3.0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Interfejsy sieciowe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 xml:space="preserve">Wbudowane dwa interfejsy sieciowe RJ-45 1Gb Ethernet w standardzie </w:t>
            </w:r>
            <w:proofErr w:type="spellStart"/>
            <w:r w:rsidRPr="005D4E6D">
              <w:rPr>
                <w:sz w:val="20"/>
                <w:szCs w:val="20"/>
              </w:rPr>
              <w:t>BaseT</w:t>
            </w:r>
            <w:proofErr w:type="spellEnd"/>
            <w:r w:rsidRPr="005D4E6D">
              <w:rPr>
                <w:sz w:val="20"/>
                <w:szCs w:val="20"/>
              </w:rPr>
              <w:t xml:space="preserve"> 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DVD±RW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6B73BF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Musi być możliwość</w:t>
            </w:r>
            <w:r w:rsidR="00F418B9" w:rsidRPr="005D4E6D">
              <w:rPr>
                <w:sz w:val="20"/>
                <w:szCs w:val="20"/>
              </w:rPr>
              <w:t xml:space="preserve"> instalacji do 8 dysków 3.5” lub 16 dysków 2,5” typu SATA, SAS, NLSAS, SSD.</w:t>
            </w:r>
          </w:p>
          <w:p w:rsidR="00F418B9" w:rsidRPr="005D4E6D" w:rsidRDefault="00F418B9" w:rsidP="007C630B">
            <w:pPr>
              <w:rPr>
                <w:rFonts w:eastAsia="Times New Roman"/>
                <w:sz w:val="20"/>
                <w:szCs w:val="20"/>
              </w:rPr>
            </w:pPr>
            <w:r w:rsidRPr="005D4E6D">
              <w:rPr>
                <w:rFonts w:eastAsia="Times New Roman"/>
                <w:sz w:val="20"/>
                <w:szCs w:val="20"/>
              </w:rPr>
              <w:t xml:space="preserve">2x dysk 4TB NLSAS 3,5”, Hot-Plug, 12Gb/s, 7.2 </w:t>
            </w:r>
            <w:proofErr w:type="spellStart"/>
            <w:r w:rsidRPr="005D4E6D">
              <w:rPr>
                <w:rFonts w:eastAsia="Times New Roman"/>
                <w:sz w:val="20"/>
                <w:szCs w:val="20"/>
              </w:rPr>
              <w:t>tys</w:t>
            </w:r>
            <w:proofErr w:type="spellEnd"/>
            <w:r w:rsidRPr="005D4E6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D4E6D">
              <w:rPr>
                <w:rFonts w:eastAsia="Times New Roman"/>
                <w:sz w:val="20"/>
                <w:szCs w:val="20"/>
              </w:rPr>
              <w:t>obr</w:t>
            </w:r>
            <w:proofErr w:type="spellEnd"/>
            <w:r w:rsidRPr="005D4E6D">
              <w:rPr>
                <w:rFonts w:eastAsia="Times New Roman"/>
                <w:sz w:val="20"/>
                <w:szCs w:val="20"/>
              </w:rPr>
              <w:t>./min.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Sprzętowy SATA/SAS/SSD, RAID poziom 0/1/5/10/50, transfer 12Gb/s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Porty zewnętrzne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rFonts w:cs="Segoe UI"/>
                <w:sz w:val="20"/>
                <w:szCs w:val="20"/>
              </w:rPr>
              <w:t>2x port USB 3.0 (1 przód obudowy + 1 tył obudowy), 6x port USB 2.0 (1 pr</w:t>
            </w:r>
            <w:r w:rsidR="00BA29DD" w:rsidRPr="005D4E6D">
              <w:rPr>
                <w:rFonts w:cs="Segoe UI"/>
                <w:sz w:val="20"/>
                <w:szCs w:val="20"/>
              </w:rPr>
              <w:t>z</w:t>
            </w:r>
            <w:r w:rsidRPr="005D4E6D">
              <w:rPr>
                <w:rFonts w:cs="Segoe UI"/>
                <w:sz w:val="20"/>
                <w:szCs w:val="20"/>
              </w:rPr>
              <w:t>ód obudowy + 5 tył obudowy), 2 porty RJ-45, port VGA, 1 port RS-232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4E6D">
              <w:rPr>
                <w:b/>
                <w:bCs/>
                <w:sz w:val="20"/>
                <w:szCs w:val="20"/>
              </w:rPr>
              <w:t>Video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Zintegrowana karta graficzna</w:t>
            </w:r>
            <w:r w:rsidR="00432B14" w:rsidRPr="005D4E6D">
              <w:rPr>
                <w:sz w:val="20"/>
                <w:szCs w:val="20"/>
              </w:rPr>
              <w:t>,</w:t>
            </w:r>
            <w:r w:rsidRPr="005D4E6D">
              <w:rPr>
                <w:sz w:val="20"/>
                <w:szCs w:val="20"/>
              </w:rPr>
              <w:t xml:space="preserve"> </w:t>
            </w:r>
            <w:r w:rsidR="00432B14" w:rsidRPr="005D4E6D">
              <w:rPr>
                <w:sz w:val="20"/>
                <w:szCs w:val="20"/>
              </w:rPr>
              <w:t>musi mieć możliwość wyświetlania</w:t>
            </w:r>
            <w:r w:rsidRPr="005D4E6D">
              <w:rPr>
                <w:sz w:val="20"/>
                <w:szCs w:val="20"/>
              </w:rPr>
              <w:t xml:space="preserve"> obrazu o rozdzielczości 1920x1200.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4E6D">
              <w:rPr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 xml:space="preserve">Redundantne, </w:t>
            </w:r>
            <w:r w:rsidR="008C2E93" w:rsidRPr="005D4E6D">
              <w:rPr>
                <w:sz w:val="20"/>
                <w:szCs w:val="20"/>
              </w:rPr>
              <w:t>musi być możliwość</w:t>
            </w:r>
            <w:r w:rsidRPr="005D4E6D">
              <w:rPr>
                <w:sz w:val="20"/>
                <w:szCs w:val="20"/>
              </w:rPr>
              <w:t xml:space="preserve"> rozbudowy do 6 wentylatorów.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4E6D">
              <w:rPr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A12987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 xml:space="preserve">Dwa redundantne Hot-Plug o mocy min. 2x 750W klasy Platinum i sprawności min 94%. Zasilacze muszą być oryginalne (pochodzić od producenta serwera – nie </w:t>
            </w:r>
            <w:r w:rsidR="00A12987" w:rsidRPr="005D4E6D">
              <w:rPr>
                <w:sz w:val="20"/>
                <w:szCs w:val="20"/>
              </w:rPr>
              <w:t xml:space="preserve">są </w:t>
            </w:r>
            <w:r w:rsidRPr="005D4E6D">
              <w:rPr>
                <w:sz w:val="20"/>
                <w:szCs w:val="20"/>
              </w:rPr>
              <w:t>dopuszczalne zamienniki).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4E6D">
              <w:rPr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Obudowa zamykana na klucz. Przednia część obudowy otwierana z zamknięciem na klucz.</w:t>
            </w:r>
          </w:p>
        </w:tc>
      </w:tr>
      <w:tr w:rsidR="00F418B9" w:rsidRPr="005D4E6D" w:rsidTr="007C630B">
        <w:trPr>
          <w:trHeight w:val="1438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 xml:space="preserve">Wspierane systemy operacyjne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autoSpaceDE w:val="0"/>
              <w:autoSpaceDN w:val="0"/>
              <w:spacing w:before="40" w:after="40" w:line="240" w:lineRule="auto"/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Microsoft Windows Server® with Hyper-V </w:t>
            </w:r>
            <w:r w:rsidRPr="005D4E6D">
              <w:rPr>
                <w:sz w:val="20"/>
                <w:szCs w:val="20"/>
              </w:rPr>
              <w:br/>
              <w:t xml:space="preserve">Red </w:t>
            </w:r>
            <w:proofErr w:type="spellStart"/>
            <w:r w:rsidRPr="005D4E6D">
              <w:rPr>
                <w:sz w:val="20"/>
                <w:szCs w:val="20"/>
              </w:rPr>
              <w:t>Hat</w:t>
            </w:r>
            <w:proofErr w:type="spellEnd"/>
            <w:r w:rsidRPr="005D4E6D">
              <w:rPr>
                <w:sz w:val="20"/>
                <w:szCs w:val="20"/>
              </w:rPr>
              <w:t>® Enterprise Linux</w:t>
            </w:r>
          </w:p>
          <w:p w:rsidR="00F418B9" w:rsidRPr="005D4E6D" w:rsidRDefault="00F418B9" w:rsidP="007C630B">
            <w:pPr>
              <w:autoSpaceDE w:val="0"/>
              <w:autoSpaceDN w:val="0"/>
              <w:spacing w:before="40" w:after="40" w:line="240" w:lineRule="auto"/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SUSE® Linux Enterprise Server </w:t>
            </w:r>
            <w:r w:rsidRPr="005D4E6D">
              <w:rPr>
                <w:sz w:val="20"/>
                <w:szCs w:val="20"/>
              </w:rPr>
              <w:br/>
              <w:t>DEBIAN Linux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D4E6D">
              <w:rPr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 xml:space="preserve">Moduł zdalnego zarządzania, diagnostyki oraz monitorowania pracy serwera z </w:t>
            </w:r>
            <w:r w:rsidRPr="005D4E6D">
              <w:rPr>
                <w:sz w:val="20"/>
                <w:szCs w:val="20"/>
              </w:rPr>
              <w:lastRenderedPageBreak/>
              <w:t>dedykowanym portem Rj-45.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B24442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ISO-9001:2008 oraz ISO-14001. Deklaracja CE.</w:t>
            </w:r>
            <w:r w:rsidRPr="005D4E6D">
              <w:rPr>
                <w:sz w:val="20"/>
                <w:szCs w:val="20"/>
              </w:rPr>
              <w:br/>
              <w:t xml:space="preserve">Serwer </w:t>
            </w:r>
            <w:r w:rsidR="00B24442" w:rsidRPr="005D4E6D">
              <w:rPr>
                <w:sz w:val="20"/>
                <w:szCs w:val="20"/>
              </w:rPr>
              <w:t xml:space="preserve">musi być </w:t>
            </w:r>
            <w:r w:rsidRPr="005D4E6D">
              <w:rPr>
                <w:sz w:val="20"/>
                <w:szCs w:val="20"/>
              </w:rPr>
              <w:t xml:space="preserve"> na liście Windows Server </w:t>
            </w:r>
            <w:proofErr w:type="spellStart"/>
            <w:r w:rsidRPr="005D4E6D">
              <w:rPr>
                <w:sz w:val="20"/>
                <w:szCs w:val="20"/>
              </w:rPr>
              <w:t>Catalog</w:t>
            </w:r>
            <w:proofErr w:type="spellEnd"/>
            <w:r w:rsidRPr="005D4E6D">
              <w:rPr>
                <w:sz w:val="20"/>
                <w:szCs w:val="20"/>
              </w:rPr>
              <w:t xml:space="preserve"> i posiada status „</w:t>
            </w:r>
            <w:proofErr w:type="spellStart"/>
            <w:r w:rsidRPr="005D4E6D">
              <w:rPr>
                <w:sz w:val="20"/>
                <w:szCs w:val="20"/>
              </w:rPr>
              <w:t>Certified</w:t>
            </w:r>
            <w:proofErr w:type="spellEnd"/>
            <w:r w:rsidRPr="005D4E6D">
              <w:rPr>
                <w:sz w:val="20"/>
                <w:szCs w:val="20"/>
              </w:rPr>
              <w:t xml:space="preserve"> for Windows” dla systemów Windows: Microsoft Windows 2012, Microsoft Windows 2012 R2, Windows Server 2016.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2A6CD2">
            <w:pPr>
              <w:jc w:val="both"/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Pełna 3 letnia gwarancja producenta realizowana w miejscu instalacji sprzętu z czasem reakcji do następnego dnia roboczego od przyjęcia zgłoszenia. M</w:t>
            </w:r>
            <w:r w:rsidR="00A31684" w:rsidRPr="005D4E6D">
              <w:rPr>
                <w:sz w:val="20"/>
                <w:szCs w:val="20"/>
              </w:rPr>
              <w:t>usi być m</w:t>
            </w:r>
            <w:r w:rsidRPr="005D4E6D">
              <w:rPr>
                <w:sz w:val="20"/>
                <w:szCs w:val="20"/>
              </w:rPr>
              <w:t xml:space="preserve">ożliwość zgłaszania awarii w trybie 365x7x24 poprzez ogólnopolską linię telefoniczną producenta. Dodatkowo </w:t>
            </w:r>
            <w:r w:rsidR="002A6CD2" w:rsidRPr="005D4E6D">
              <w:rPr>
                <w:sz w:val="20"/>
                <w:szCs w:val="20"/>
              </w:rPr>
              <w:t>Wykonawca</w:t>
            </w:r>
            <w:r w:rsidRPr="005D4E6D">
              <w:rPr>
                <w:sz w:val="20"/>
                <w:szCs w:val="20"/>
              </w:rPr>
              <w:t xml:space="preserve"> musi zapewnić, iż w przypadku awarii, uszkodzone dyski twarde pozostaną u użytkownika, a w ich miejsce zostaną dostarczone nowe.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 xml:space="preserve">Dokumentacja 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18B9" w:rsidRPr="005D4E6D" w:rsidRDefault="003643B6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Musi być możliwość</w:t>
            </w:r>
            <w:r w:rsidR="00F418B9" w:rsidRPr="005D4E6D">
              <w:rPr>
                <w:sz w:val="20"/>
                <w:szCs w:val="20"/>
              </w:rPr>
              <w:t xml:space="preserve"> telefonicznego sprawdzenia konfiguracji sprzętowej serwera oraz warunków gwarancji po podaniu numeru seryjnego bezpośrednio u producenta lub jego przedstawiciela.</w:t>
            </w:r>
          </w:p>
        </w:tc>
      </w:tr>
      <w:tr w:rsidR="00F418B9" w:rsidRPr="005D4E6D" w:rsidTr="007C630B"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8B9" w:rsidRPr="005D4E6D" w:rsidRDefault="00F418B9" w:rsidP="007C6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D4E6D">
              <w:rPr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Serwer musi być fabrycznie nowy tj. nie może być wyprodukowany wcześniej niż pół roku przed datą dostawy oraz musi pochodzić z oficjalnego kanału dystrybucji na terenie Polski.</w:t>
            </w:r>
          </w:p>
          <w:p w:rsidR="00F418B9" w:rsidRPr="005D4E6D" w:rsidRDefault="00F418B9" w:rsidP="007C630B">
            <w:pPr>
              <w:rPr>
                <w:sz w:val="20"/>
                <w:szCs w:val="20"/>
              </w:rPr>
            </w:pPr>
            <w:r w:rsidRPr="005D4E6D">
              <w:rPr>
                <w:sz w:val="20"/>
                <w:szCs w:val="20"/>
              </w:rPr>
              <w:t>Maksymalny termin dostawy do 21 dni od daty zamówienia</w:t>
            </w:r>
          </w:p>
        </w:tc>
      </w:tr>
    </w:tbl>
    <w:p w:rsidR="0023135F" w:rsidRPr="005D4E6D" w:rsidRDefault="0023135F" w:rsidP="005F7825">
      <w:pPr>
        <w:widowControl w:val="0"/>
        <w:spacing w:after="0" w:line="240" w:lineRule="auto"/>
        <w:ind w:left="2" w:hanging="2"/>
        <w:jc w:val="both"/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  <w:shd w:val="clear" w:color="auto" w:fill="FFFF00"/>
        </w:rPr>
      </w:pPr>
    </w:p>
    <w:p w:rsidR="0023135F" w:rsidRPr="005D4E6D" w:rsidRDefault="00621B40" w:rsidP="005F7825">
      <w:pPr>
        <w:numPr>
          <w:ilvl w:val="1"/>
          <w:numId w:val="5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Zasady ustalania wynagrodzenia za wykonanie przedmiotu zamówienia</w:t>
      </w:r>
    </w:p>
    <w:p w:rsidR="0023135F" w:rsidRPr="005D4E6D" w:rsidRDefault="0023135F" w:rsidP="005F7825">
      <w:pPr>
        <w:spacing w:after="0" w:line="240" w:lineRule="auto"/>
        <w:ind w:left="567"/>
        <w:jc w:val="both"/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 xml:space="preserve">Wynagrodzenie obejmuje wszystkie elementy składowe </w:t>
      </w:r>
      <w:r w:rsidR="001D5C1C">
        <w:t>Szacowania</w:t>
      </w:r>
      <w:r w:rsidR="001D5C1C" w:rsidRPr="001D5C1C">
        <w:t xml:space="preserve"> wartości zamówienia</w:t>
      </w:r>
      <w:r w:rsidRPr="005D4E6D">
        <w:t xml:space="preserve">, płatne  jednorazowo po podpisaniu protokołu odbioru. Koszty transportu oraz ewentualnego ubezpieczenia pokrywa </w:t>
      </w:r>
      <w:r w:rsidR="002A6CD2" w:rsidRPr="005D4E6D">
        <w:t>Wykonawca</w:t>
      </w:r>
      <w:r w:rsidRPr="005D4E6D">
        <w:t>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Miejsce dostawy przedmiotu zamówienia oraz wykonania pozostałych usług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987DDA" w:rsidRPr="005D4E6D" w:rsidRDefault="00987DDA" w:rsidP="009E7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ind w:left="567"/>
        <w:jc w:val="both"/>
      </w:pPr>
      <w:r w:rsidRPr="005D4E6D">
        <w:rPr>
          <w:b/>
        </w:rPr>
        <w:t xml:space="preserve">Wyższa Szkoła Bankowa we Wrocławiu, Wydział Ekonomiczny w Opolu, </w:t>
      </w:r>
      <w:r w:rsidRPr="005D4E6D">
        <w:t>ul. Augustyna Kośnego 72, 45-</w:t>
      </w:r>
      <w:r w:rsidR="00963D4D" w:rsidRPr="005D4E6D">
        <w:t>372 Opole – dokładna lokalizacja</w:t>
      </w:r>
      <w:r w:rsidRPr="005D4E6D">
        <w:t xml:space="preserve"> zostanie wskazana po podpisaniu umowy.</w:t>
      </w: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Kod CPV: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rStyle w:val="Hyperlink1"/>
        </w:rPr>
      </w:pPr>
      <w:r w:rsidRPr="005D4E6D">
        <w:rPr>
          <w:rStyle w:val="Hyperlink1"/>
        </w:rPr>
        <w:t>Kod CPV: 48820000-2 - Serwery</w:t>
      </w:r>
    </w:p>
    <w:p w:rsidR="00AF580B" w:rsidRPr="005D4E6D" w:rsidRDefault="00AF580B" w:rsidP="005F7825">
      <w:pPr>
        <w:spacing w:after="0" w:line="240" w:lineRule="auto"/>
        <w:ind w:firstLine="567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Dodatkowe przedmioty zamówienia </w:t>
      </w:r>
    </w:p>
    <w:p w:rsidR="0023135F" w:rsidRPr="005D4E6D" w:rsidRDefault="00621B40" w:rsidP="005F7825">
      <w:pPr>
        <w:spacing w:after="0" w:line="240" w:lineRule="auto"/>
        <w:ind w:firstLine="567"/>
        <w:jc w:val="both"/>
      </w:pPr>
      <w:r w:rsidRPr="005D4E6D">
        <w:t>Zamawiający nie przewiduje dodatkowych przedmiotów zamówienia.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Zamówienia uzupełniające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b/>
          <w:bCs/>
          <w:shd w:val="clear" w:color="auto" w:fill="FFFF00"/>
        </w:rPr>
      </w:pPr>
      <w:r w:rsidRPr="005D4E6D">
        <w:t>Zamawiający nie przewiduje zamówień uzupełniających</w:t>
      </w:r>
      <w:r w:rsidRPr="005D4E6D">
        <w:rPr>
          <w:rStyle w:val="Hyperlink1"/>
        </w:rPr>
        <w:t>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8543F2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Terminy realizacji zamówienia </w:t>
      </w:r>
    </w:p>
    <w:p w:rsidR="00AF580B" w:rsidRPr="005D4E6D" w:rsidRDefault="00AF580B" w:rsidP="0017754E">
      <w:pPr>
        <w:spacing w:after="0" w:line="240" w:lineRule="auto"/>
        <w:jc w:val="both"/>
      </w:pPr>
      <w:r w:rsidRPr="005D4E6D">
        <w:tab/>
      </w: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>Harmonogram realizacji zamówienia:</w:t>
      </w:r>
    </w:p>
    <w:p w:rsidR="0023135F" w:rsidRPr="005D4E6D" w:rsidRDefault="00621B40" w:rsidP="005F782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D4E6D">
        <w:t>Wykonawca musi dostarczyć przedmiot zamówienia w terminie nie dłuższym niż 21 dni od dnia podpisania umowy.</w:t>
      </w:r>
    </w:p>
    <w:p w:rsidR="0023135F" w:rsidRPr="005D4E6D" w:rsidRDefault="00621B40" w:rsidP="005F7825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D4E6D">
        <w:lastRenderedPageBreak/>
        <w:t>Za termin wykonania przedmiotu umowy uważa się jego dostarczenie do siedziby Zamawiającego oraz podłączenie, skonfi</w:t>
      </w:r>
      <w:r w:rsidR="0017754E" w:rsidRPr="005D4E6D">
        <w:t>gurowanie i uruchomienie serwerów</w:t>
      </w:r>
      <w:r w:rsidRPr="005D4E6D">
        <w:t xml:space="preserve"> w ramach posiadanej przez Zamawiającego infrastruktury</w:t>
      </w:r>
      <w:r w:rsidR="0017754E" w:rsidRPr="005D4E6D">
        <w:t xml:space="preserve">, </w:t>
      </w:r>
      <w:r w:rsidRPr="005D4E6D">
        <w:t xml:space="preserve"> potwierdzone protokołem odbioru.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shd w:val="clear" w:color="auto" w:fill="FFFF00"/>
        </w:rPr>
      </w:pPr>
    </w:p>
    <w:p w:rsidR="0023135F" w:rsidRPr="005D4E6D" w:rsidRDefault="00621B40" w:rsidP="008543F2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Warunki udziału w postępowaniu</w:t>
      </w:r>
    </w:p>
    <w:p w:rsidR="0023135F" w:rsidRPr="005D4E6D" w:rsidRDefault="00621B40" w:rsidP="005F7825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Uprawnienia do wykonania określonej działalności lub czynności</w:t>
      </w:r>
    </w:p>
    <w:p w:rsidR="0023135F" w:rsidRPr="005D4E6D" w:rsidRDefault="0023135F" w:rsidP="005F7825">
      <w:pPr>
        <w:spacing w:after="0" w:line="240" w:lineRule="auto"/>
        <w:ind w:left="644"/>
        <w:jc w:val="both"/>
      </w:pPr>
    </w:p>
    <w:p w:rsidR="0023135F" w:rsidRPr="005D4E6D" w:rsidRDefault="00621B40" w:rsidP="005F7825">
      <w:pPr>
        <w:spacing w:after="0" w:line="240" w:lineRule="auto"/>
        <w:ind w:left="644"/>
        <w:jc w:val="both"/>
      </w:pPr>
      <w:r w:rsidRPr="005D4E6D">
        <w:t>W postępowaniu mogą wziąć udział Wykonawcy, którzy spełniają niżej wymienione warunki udziału w postępowaniu.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Sytuacja ekonomiczna i finansowa 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644"/>
        <w:jc w:val="both"/>
      </w:pPr>
      <w:r w:rsidRPr="005D4E6D">
        <w:t>Wykonawca znajduje się w sytuacji ekonomicznej i finansowej zapewniającej terminowe wykonanie przedmiotu zamówienia.</w:t>
      </w:r>
    </w:p>
    <w:p w:rsidR="0023135F" w:rsidRPr="005D4E6D" w:rsidRDefault="00621B40" w:rsidP="005F7825">
      <w:pPr>
        <w:pStyle w:val="Akapitzlist"/>
        <w:spacing w:after="0" w:line="259" w:lineRule="auto"/>
        <w:ind w:left="0" w:firstLine="644"/>
        <w:jc w:val="both"/>
      </w:pPr>
      <w:r w:rsidRPr="005D4E6D">
        <w:t>Wykonawca nie znajdują się w stanie likwidacji ani nie jego ogłoszono upadłości.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 xml:space="preserve">Wykonawca nie zalega z uiszczeniem podatków, opłat oraz składek na ubezpieczenia 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>społeczne i zdrowotne.</w:t>
      </w:r>
    </w:p>
    <w:p w:rsidR="0023135F" w:rsidRPr="005D4E6D" w:rsidRDefault="0023135F" w:rsidP="005F7825">
      <w:pPr>
        <w:pStyle w:val="Akapitzlist"/>
        <w:spacing w:after="0" w:line="259" w:lineRule="auto"/>
        <w:ind w:left="709" w:hanging="65"/>
        <w:jc w:val="both"/>
        <w:rPr>
          <w:shd w:val="clear" w:color="auto" w:fill="FFFF00"/>
        </w:rPr>
      </w:pPr>
    </w:p>
    <w:p w:rsidR="0023135F" w:rsidRPr="005D4E6D" w:rsidRDefault="00621B40" w:rsidP="005F7825">
      <w:pPr>
        <w:pStyle w:val="Akapitzlist"/>
        <w:numPr>
          <w:ilvl w:val="1"/>
          <w:numId w:val="10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Dodatkowe warunki:</w:t>
      </w:r>
    </w:p>
    <w:p w:rsidR="001C07C8" w:rsidRPr="005D4E6D" w:rsidRDefault="00E93920" w:rsidP="005A496C">
      <w:pPr>
        <w:pStyle w:val="Akapitzlist"/>
        <w:spacing w:after="0" w:line="240" w:lineRule="auto"/>
        <w:ind w:left="709"/>
        <w:jc w:val="both"/>
      </w:pPr>
      <w:r w:rsidRPr="005D4E6D">
        <w:t xml:space="preserve">Wykonawca jest certyfikowanym partnerem handlowym producenta sprzętu będącego treścią </w:t>
      </w:r>
      <w:bookmarkStart w:id="0" w:name="_GoBack"/>
      <w:r w:rsidRPr="005D4E6D">
        <w:t>zapytani</w:t>
      </w:r>
      <w:bookmarkEnd w:id="0"/>
      <w:r w:rsidRPr="005D4E6D">
        <w:t xml:space="preserve">a. </w:t>
      </w:r>
    </w:p>
    <w:p w:rsidR="00E93920" w:rsidRPr="005D4E6D" w:rsidRDefault="00E93920" w:rsidP="005F7825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8543F2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Sposób dokonania oceny spełnienia warunków  udziału w postępowaniu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ind w:left="720"/>
        <w:jc w:val="both"/>
      </w:pPr>
      <w:r w:rsidRPr="005D4E6D">
        <w:t xml:space="preserve">Ocena spełnienia warunków udziału w postępowaniu przeprowadzona zostanie w oparciu o podpisane przez Wykonawcę oświadczenie o spełnieniu wymagań Zamawiającego określonych w załączniku nr 1 do </w:t>
      </w:r>
      <w:r w:rsidR="00B77B73" w:rsidRPr="00B77B73">
        <w:t xml:space="preserve">Szacowania wartości zamówienia </w:t>
      </w:r>
      <w:r w:rsidRPr="005D4E6D">
        <w:t xml:space="preserve">oraz dokumentów wymienionych w pkt. </w:t>
      </w:r>
      <w:r w:rsidR="00B77B73">
        <w:t>7</w:t>
      </w:r>
      <w:r w:rsidRPr="005D4E6D">
        <w:t>, podp</w:t>
      </w:r>
      <w:r w:rsidR="005A496C" w:rsidRPr="005D4E6D">
        <w:t>unkt 3</w:t>
      </w:r>
      <w:r w:rsidRPr="005D4E6D">
        <w:t>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Wykluczenia z udziału w postępowaniu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567"/>
        <w:jc w:val="both"/>
      </w:pPr>
      <w:r w:rsidRPr="005D4E6D">
        <w:t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23135F" w:rsidRPr="005D4E6D" w:rsidRDefault="00621B40" w:rsidP="005F7825">
      <w:pPr>
        <w:pStyle w:val="Akapitzlist"/>
        <w:numPr>
          <w:ilvl w:val="1"/>
          <w:numId w:val="15"/>
        </w:numPr>
        <w:spacing w:after="0" w:line="240" w:lineRule="auto"/>
        <w:jc w:val="both"/>
      </w:pPr>
      <w:r w:rsidRPr="005D4E6D">
        <w:t>uczestniczenie w spółce jako wspólnik spółki cywilnej lub spółki osobowej,</w:t>
      </w:r>
    </w:p>
    <w:p w:rsidR="0023135F" w:rsidRPr="005D4E6D" w:rsidRDefault="00621B40" w:rsidP="005F7825">
      <w:pPr>
        <w:pStyle w:val="Akapitzlist"/>
        <w:numPr>
          <w:ilvl w:val="1"/>
          <w:numId w:val="15"/>
        </w:numPr>
        <w:spacing w:after="0" w:line="240" w:lineRule="auto"/>
        <w:jc w:val="both"/>
      </w:pPr>
      <w:r w:rsidRPr="005D4E6D">
        <w:t>posiadanie co najmniej 10% udziałów lub akcji,</w:t>
      </w:r>
    </w:p>
    <w:p w:rsidR="0023135F" w:rsidRPr="005D4E6D" w:rsidRDefault="00621B40" w:rsidP="005F7825">
      <w:pPr>
        <w:pStyle w:val="Akapitzlist"/>
        <w:numPr>
          <w:ilvl w:val="1"/>
          <w:numId w:val="15"/>
        </w:numPr>
        <w:spacing w:after="0" w:line="240" w:lineRule="auto"/>
        <w:jc w:val="both"/>
      </w:pPr>
      <w:r w:rsidRPr="005D4E6D">
        <w:t>pełnienie funkcji członka organu nadzorczego lub zarządzającego, prokurenta, pełnomocnika, </w:t>
      </w:r>
    </w:p>
    <w:p w:rsidR="0023135F" w:rsidRPr="005D4E6D" w:rsidRDefault="00621B40" w:rsidP="005F7825">
      <w:pPr>
        <w:pStyle w:val="Akapitzlist"/>
        <w:numPr>
          <w:ilvl w:val="1"/>
          <w:numId w:val="15"/>
        </w:numPr>
        <w:spacing w:after="0" w:line="240" w:lineRule="auto"/>
        <w:jc w:val="both"/>
      </w:pPr>
      <w:r w:rsidRPr="005D4E6D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</w:pPr>
    </w:p>
    <w:p w:rsidR="0023135F" w:rsidRPr="005D4E6D" w:rsidRDefault="00621B40" w:rsidP="005F7825">
      <w:pPr>
        <w:spacing w:after="0" w:line="240" w:lineRule="auto"/>
        <w:ind w:left="646"/>
        <w:jc w:val="both"/>
      </w:pPr>
      <w:r w:rsidRPr="005D4E6D">
        <w:t xml:space="preserve">Potwierdzeniem spełnienia ww. warunku będzie złożenie przez Wykonawcę Oświadczenia o braku powiązań stanowiącego </w:t>
      </w:r>
      <w:r w:rsidRPr="005D4E6D">
        <w:rPr>
          <w:rStyle w:val="Hyperlink1"/>
        </w:rPr>
        <w:t>załącznik nr 2</w:t>
      </w:r>
      <w:r w:rsidRPr="005D4E6D">
        <w:t xml:space="preserve"> do niniejszego </w:t>
      </w:r>
      <w:r w:rsidR="00B77B73" w:rsidRPr="00B77B73">
        <w:t>Szacowania wartości zamówienia</w:t>
      </w:r>
      <w:r w:rsidRPr="005D4E6D">
        <w:t>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8543F2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Lista Dokumentów wymaganych od Wykonawcy 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 xml:space="preserve">Lista Dokumentów, które Wykonawca zobowiązany jest złożyć w odpowiedzi na </w:t>
      </w:r>
      <w:r w:rsidR="00B77B73">
        <w:t>Szacowanie</w:t>
      </w:r>
      <w:r w:rsidR="00B77B73" w:rsidRPr="00B77B73">
        <w:t xml:space="preserve"> wartości zamówienia</w:t>
      </w:r>
      <w:r w:rsidRPr="005D4E6D">
        <w:t>: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67959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D4E6D">
        <w:t xml:space="preserve">Załącznik nr 1  do </w:t>
      </w:r>
      <w:r w:rsidR="00193BB8" w:rsidRPr="005D4E6D">
        <w:t xml:space="preserve">Szacowania wartości zamówienia </w:t>
      </w:r>
      <w:r w:rsidRPr="005D4E6D">
        <w:t xml:space="preserve">nr </w:t>
      </w:r>
      <w:r w:rsidR="00567959" w:rsidRPr="005D4E6D">
        <w:rPr>
          <w:rStyle w:val="Hyperlink1"/>
        </w:rPr>
        <w:t xml:space="preserve">01/07/2018/Z004/136/IJ/S </w:t>
      </w:r>
      <w:r w:rsidRPr="005D4E6D">
        <w:t xml:space="preserve">- </w:t>
      </w:r>
      <w:r w:rsidRPr="005D4E6D">
        <w:rPr>
          <w:rStyle w:val="Hyperlink1"/>
        </w:rPr>
        <w:t xml:space="preserve">Formularz 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szacowania wartości zamówienia</w:t>
      </w:r>
      <w:r w:rsidRPr="005D4E6D">
        <w:t xml:space="preserve"> – wypełniony i podpisany przez Wykonawcę lub osobę/osoby upoważnione do reprezentacji Wykonawcy.</w:t>
      </w:r>
    </w:p>
    <w:p w:rsidR="0023135F" w:rsidRPr="005D4E6D" w:rsidRDefault="00621B40" w:rsidP="00567959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D4E6D">
        <w:t xml:space="preserve">Załącznik nr 2 do </w:t>
      </w:r>
      <w:r w:rsidR="00DE1405" w:rsidRPr="005D4E6D">
        <w:t xml:space="preserve">Szacowania wartości zamówienia </w:t>
      </w:r>
      <w:r w:rsidRPr="005D4E6D">
        <w:t xml:space="preserve">nr </w:t>
      </w:r>
      <w:r w:rsidR="00567959" w:rsidRPr="005D4E6D">
        <w:rPr>
          <w:rStyle w:val="Hyperlink1"/>
        </w:rPr>
        <w:t xml:space="preserve">01/07/2018/Z004/136/IJ/S </w:t>
      </w:r>
      <w:r w:rsidRPr="005D4E6D">
        <w:t xml:space="preserve">– </w:t>
      </w:r>
      <w:r w:rsidRPr="005D4E6D">
        <w:rPr>
          <w:rStyle w:val="Hyperlink1"/>
        </w:rPr>
        <w:t xml:space="preserve">Oświadczenie o braku wzajemnych powiązań kapitałowych lub osobowych Wykonawcy i Zamawiającego </w:t>
      </w:r>
      <w:r w:rsidRPr="005D4E6D">
        <w:t>- wypełniony i podpisany przez Wykonawcę lub osobę/osoby upoważnione do reprezentacji Wykonawcy.</w:t>
      </w:r>
    </w:p>
    <w:p w:rsidR="0023135F" w:rsidRPr="005D4E6D" w:rsidRDefault="00621B40" w:rsidP="005F7825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5D4E6D">
        <w:t>Dokumenty potwierdzające uprawnienia osób do podpisania oferty, jeżeli nie wynika to z dokumentów rejestrowych</w:t>
      </w:r>
      <w:r w:rsidR="00CB739F">
        <w:t>.</w:t>
      </w:r>
    </w:p>
    <w:p w:rsidR="0023135F" w:rsidRPr="005D4E6D" w:rsidRDefault="0023135F" w:rsidP="005F7825">
      <w:pPr>
        <w:spacing w:after="0" w:line="240" w:lineRule="auto"/>
        <w:ind w:left="720"/>
        <w:jc w:val="both"/>
      </w:pPr>
    </w:p>
    <w:p w:rsidR="0023135F" w:rsidRPr="005D4E6D" w:rsidRDefault="00621B40" w:rsidP="008543F2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Sposób przygotowania i składania ofert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Wykonawca może złożyć tylko jeden Formularz szacowania wartości zamówienia wypełniony w języku polskim w postaci dokumentów wskazanych w punkcie </w:t>
      </w:r>
      <w:r w:rsidR="0095323A" w:rsidRPr="005D4E6D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b/>
          <w:color w:val="auto"/>
          <w:bdr w:val="none" w:sz="0" w:space="0" w:color="auto"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Dokumenty wskazane w punkcie </w:t>
      </w:r>
      <w:r w:rsidR="00CB739F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 (Formularz szacowania wartości zamówienia wraz z załącznikami) należy wysłać mailem na adres: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0563C1"/>
          <w:u w:val="single"/>
          <w:bdr w:val="none" w:sz="0" w:space="0" w:color="auto"/>
        </w:rPr>
        <w:t>iwona.josinska@wsb.wroclaw.pl</w:t>
      </w:r>
      <w:r w:rsidRPr="005D4E6D">
        <w:rPr>
          <w:rFonts w:cs="Times New Roman"/>
          <w:color w:val="auto"/>
          <w:bdr w:val="none" w:sz="0" w:space="0" w:color="auto"/>
        </w:rPr>
        <w:t xml:space="preserve"> do dnia 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0</w:t>
      </w:r>
      <w:r w:rsidR="00AE151D">
        <w:rPr>
          <w:rFonts w:cs="Times New Roman"/>
          <w:b/>
          <w:color w:val="auto"/>
          <w:bdr w:val="none" w:sz="0" w:space="0" w:color="auto"/>
        </w:rPr>
        <w:t>4</w:t>
      </w:r>
      <w:r w:rsidRPr="005D4E6D">
        <w:rPr>
          <w:rFonts w:cs="Times New Roman"/>
          <w:b/>
          <w:color w:val="auto"/>
          <w:bdr w:val="none" w:sz="0" w:space="0" w:color="auto"/>
        </w:rPr>
        <w:t>.0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7</w:t>
      </w:r>
      <w:r w:rsidRPr="005D4E6D">
        <w:rPr>
          <w:rFonts w:cs="Times New Roman"/>
          <w:b/>
          <w:color w:val="auto"/>
          <w:bdr w:val="none" w:sz="0" w:space="0" w:color="auto"/>
        </w:rPr>
        <w:t>.2018 roku do godziny 1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2</w:t>
      </w:r>
      <w:r w:rsidRPr="005D4E6D">
        <w:rPr>
          <w:rFonts w:cs="Times New Roman"/>
          <w:b/>
          <w:color w:val="auto"/>
          <w:bdr w:val="none" w:sz="0" w:space="0" w:color="auto"/>
        </w:rPr>
        <w:t>:00</w:t>
      </w:r>
      <w:r w:rsidRPr="005D4E6D">
        <w:rPr>
          <w:rFonts w:cs="Times New Roman"/>
          <w:color w:val="auto"/>
          <w:bdr w:val="none" w:sz="0" w:space="0" w:color="auto"/>
        </w:rPr>
        <w:t>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>PROSI SIĘ O WYSYŁANIE WIADOMOŚCI O WIELKOŚCI MAKSYMALNIE 10MB. W PRZYPADKU PRZEKROCZENIA TEJ WIELKOŚCI NALEŻY WYSYŁAĆ WIADOMOŚCI W DWÓCH LUB W TRZECH E-MAILACH.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A34F3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Załączniki do </w:t>
      </w:r>
      <w:r w:rsidR="00A34F37" w:rsidRPr="00A34F37">
        <w:rPr>
          <w:b/>
          <w:bCs/>
        </w:rPr>
        <w:t>Szacowania wartości zamówienia</w:t>
      </w:r>
      <w:r w:rsidR="00A34F37">
        <w:rPr>
          <w:b/>
          <w:bCs/>
        </w:rPr>
        <w:t>: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654E63" w:rsidRPr="005D4E6D" w:rsidRDefault="00654E63" w:rsidP="00654E63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1 do Szacowania wartości zamówienia nr </w:t>
      </w:r>
      <w:r w:rsidR="00567959" w:rsidRPr="005D4E6D">
        <w:rPr>
          <w:rFonts w:eastAsia="Times New Roman" w:cs="Times New Roman"/>
          <w:b/>
          <w:color w:val="auto"/>
          <w:bdr w:val="none" w:sz="0" w:space="0" w:color="auto"/>
        </w:rPr>
        <w:t>01/07/2018/Z004/136/IJ/S</w:t>
      </w:r>
      <w:r w:rsidR="00567959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5D4E6D">
        <w:rPr>
          <w:rFonts w:eastAsia="Times New Roman" w:cs="Times New Roman"/>
          <w:color w:val="auto"/>
          <w:bdr w:val="none" w:sz="0" w:space="0" w:color="auto"/>
        </w:rPr>
        <w:t>- </w:t>
      </w:r>
      <w:r w:rsidRPr="005D4E6D">
        <w:rPr>
          <w:rFonts w:eastAsia="Times New Roman" w:cs="Times New Roman"/>
          <w:b/>
          <w:color w:val="auto"/>
          <w:bdr w:val="none" w:sz="0" w:space="0" w:color="auto" w:frame="1"/>
        </w:rPr>
        <w:t>Formularz szacowania wartości zamówienia</w:t>
      </w:r>
      <w:r w:rsidRPr="005D4E6D">
        <w:rPr>
          <w:rFonts w:eastAsia="Times New Roman" w:cs="Times New Roman"/>
          <w:color w:val="auto"/>
          <w:bdr w:val="none" w:sz="0" w:space="0" w:color="auto" w:frame="1"/>
        </w:rPr>
        <w:t>.</w:t>
      </w:r>
    </w:p>
    <w:p w:rsidR="00654E63" w:rsidRPr="005D4E6D" w:rsidRDefault="00654E63" w:rsidP="00654E63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2 do Szacowania wartości zamówienia nr </w:t>
      </w:r>
      <w:r w:rsidR="00567959" w:rsidRPr="005D4E6D">
        <w:rPr>
          <w:rFonts w:eastAsia="Times New Roman" w:cs="Times New Roman"/>
          <w:b/>
          <w:color w:val="auto"/>
          <w:bdr w:val="none" w:sz="0" w:space="0" w:color="auto"/>
        </w:rPr>
        <w:t>01/07/2018/Z004/136/IJ/S</w:t>
      </w:r>
      <w:r w:rsidR="00567959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5D645A" w:rsidRPr="005D4E6D">
        <w:rPr>
          <w:rFonts w:eastAsia="Times New Roman" w:cs="Times New Roman"/>
          <w:color w:val="auto"/>
          <w:bdr w:val="none" w:sz="0" w:space="0" w:color="auto"/>
        </w:rPr>
        <w:t>-</w:t>
      </w:r>
      <w:hyperlink r:id="rId8" w:history="1">
        <w:r w:rsidRPr="005D4E6D">
          <w:rPr>
            <w:rFonts w:eastAsia="Times New Roman" w:cs="Times New Roman"/>
            <w:b/>
            <w:color w:val="auto"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23135F" w:rsidRPr="005D4E6D" w:rsidRDefault="0023135F" w:rsidP="005F7825">
      <w:pPr>
        <w:spacing w:after="0" w:line="240" w:lineRule="auto"/>
        <w:jc w:val="both"/>
      </w:pPr>
    </w:p>
    <w:sectPr w:rsidR="0023135F" w:rsidRPr="005D4E6D">
      <w:headerReference w:type="default" r:id="rId9"/>
      <w:footerReference w:type="default" r:id="rId10"/>
      <w:pgSz w:w="11900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23" w:rsidRDefault="00621B40">
      <w:pPr>
        <w:spacing w:after="0" w:line="240" w:lineRule="auto"/>
      </w:pPr>
      <w:r>
        <w:separator/>
      </w:r>
    </w:p>
  </w:endnote>
  <w:endnote w:type="continuationSeparator" w:id="0">
    <w:p w:rsidR="004A0023" w:rsidRDefault="0062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621B40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77B7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23" w:rsidRDefault="00621B40">
      <w:pPr>
        <w:spacing w:after="0" w:line="240" w:lineRule="auto"/>
      </w:pPr>
      <w:r>
        <w:separator/>
      </w:r>
    </w:p>
  </w:footnote>
  <w:footnote w:type="continuationSeparator" w:id="0">
    <w:p w:rsidR="004A0023" w:rsidRDefault="0062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5F" w:rsidRDefault="00621B40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472439</wp:posOffset>
          </wp:positionH>
          <wp:positionV relativeFrom="page">
            <wp:posOffset>528955</wp:posOffset>
          </wp:positionV>
          <wp:extent cx="6802120" cy="61912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2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D7"/>
    <w:multiLevelType w:val="hybridMultilevel"/>
    <w:tmpl w:val="408A50F0"/>
    <w:styleLink w:val="Zaimportowanystyl4"/>
    <w:lvl w:ilvl="0" w:tplc="730E59F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2FA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F64D8C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0147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881D3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4CE6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B2DBB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CE235C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0A7BC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20D7A"/>
    <w:multiLevelType w:val="hybridMultilevel"/>
    <w:tmpl w:val="408A50F0"/>
    <w:numStyleLink w:val="Zaimportowanystyl4"/>
  </w:abstractNum>
  <w:abstractNum w:abstractNumId="2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0B4A56C6"/>
    <w:multiLevelType w:val="hybridMultilevel"/>
    <w:tmpl w:val="80DC10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815CEB"/>
    <w:multiLevelType w:val="hybridMultilevel"/>
    <w:tmpl w:val="204C8E2E"/>
    <w:lvl w:ilvl="0" w:tplc="E0A01C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227649BA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90E17"/>
    <w:multiLevelType w:val="hybridMultilevel"/>
    <w:tmpl w:val="85CA3B7A"/>
    <w:numStyleLink w:val="Zaimportowanystyl70"/>
  </w:abstractNum>
  <w:abstractNum w:abstractNumId="7">
    <w:nsid w:val="162E2205"/>
    <w:multiLevelType w:val="hybridMultilevel"/>
    <w:tmpl w:val="9B849398"/>
    <w:numStyleLink w:val="Zaimportowanystyl6"/>
  </w:abstractNum>
  <w:abstractNum w:abstractNumId="8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3E662AB"/>
    <w:multiLevelType w:val="hybridMultilevel"/>
    <w:tmpl w:val="E1A2AADA"/>
    <w:numStyleLink w:val="Zaimportowanystyl7"/>
  </w:abstractNum>
  <w:abstractNum w:abstractNumId="11">
    <w:nsid w:val="249A70B7"/>
    <w:multiLevelType w:val="multilevel"/>
    <w:tmpl w:val="1010A992"/>
    <w:numStyleLink w:val="Zaimportowanystyl5"/>
  </w:abstractNum>
  <w:abstractNum w:abstractNumId="12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AD63B6"/>
    <w:multiLevelType w:val="multilevel"/>
    <w:tmpl w:val="EC680706"/>
    <w:numStyleLink w:val="Zaimportowanystyl40"/>
  </w:abstractNum>
  <w:abstractNum w:abstractNumId="14">
    <w:nsid w:val="27923D35"/>
    <w:multiLevelType w:val="hybridMultilevel"/>
    <w:tmpl w:val="990E25F8"/>
    <w:styleLink w:val="Zaimportowanystyl13"/>
    <w:lvl w:ilvl="0" w:tplc="24E24C9E">
      <w:start w:val="1"/>
      <w:numFmt w:val="lowerLetter"/>
      <w:lvlText w:val="%1)"/>
      <w:lvlJc w:val="left"/>
      <w:pPr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E6496">
      <w:start w:val="1"/>
      <w:numFmt w:val="lowerLetter"/>
      <w:suff w:val="nothing"/>
      <w:lvlText w:val="%2)"/>
      <w:lvlJc w:val="left"/>
      <w:pPr>
        <w:ind w:left="1463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CB2D206">
      <w:start w:val="1"/>
      <w:numFmt w:val="decimal"/>
      <w:lvlText w:val="%3."/>
      <w:lvlJc w:val="left"/>
      <w:pPr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C2308C">
      <w:start w:val="1"/>
      <w:numFmt w:val="decimal"/>
      <w:lvlText w:val="%4."/>
      <w:lvlJc w:val="left"/>
      <w:pPr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D0B3E8">
      <w:start w:val="1"/>
      <w:numFmt w:val="decimal"/>
      <w:lvlText w:val="%5."/>
      <w:lvlJc w:val="left"/>
      <w:pPr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AAC40">
      <w:start w:val="1"/>
      <w:numFmt w:val="decimal"/>
      <w:lvlText w:val="%6."/>
      <w:lvlJc w:val="left"/>
      <w:pPr>
        <w:ind w:left="45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01F6">
      <w:start w:val="1"/>
      <w:numFmt w:val="decimal"/>
      <w:lvlText w:val="%7."/>
      <w:lvlJc w:val="left"/>
      <w:pPr>
        <w:ind w:left="53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3A0DFA">
      <w:start w:val="1"/>
      <w:numFmt w:val="decimal"/>
      <w:lvlText w:val="%8."/>
      <w:lvlJc w:val="left"/>
      <w:pPr>
        <w:ind w:left="60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CFDA6">
      <w:start w:val="1"/>
      <w:numFmt w:val="decimal"/>
      <w:lvlText w:val="%9."/>
      <w:lvlJc w:val="left"/>
      <w:pPr>
        <w:ind w:left="67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11709EC"/>
    <w:multiLevelType w:val="multilevel"/>
    <w:tmpl w:val="5964AD1A"/>
    <w:numStyleLink w:val="Zaimportowanystyl1"/>
  </w:abstractNum>
  <w:abstractNum w:abstractNumId="18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6DB30AD"/>
    <w:multiLevelType w:val="hybridMultilevel"/>
    <w:tmpl w:val="8D988774"/>
    <w:numStyleLink w:val="Zaimportowanystyl8"/>
  </w:abstractNum>
  <w:abstractNum w:abstractNumId="20">
    <w:nsid w:val="401B170A"/>
    <w:multiLevelType w:val="hybridMultilevel"/>
    <w:tmpl w:val="9C54EBB2"/>
    <w:numStyleLink w:val="Zaimportowanystyl60"/>
  </w:abstractNum>
  <w:abstractNum w:abstractNumId="21">
    <w:nsid w:val="428C3396"/>
    <w:multiLevelType w:val="hybridMultilevel"/>
    <w:tmpl w:val="B9380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D0451C"/>
    <w:multiLevelType w:val="hybridMultilevel"/>
    <w:tmpl w:val="F69EA790"/>
    <w:numStyleLink w:val="Zaimportowanystyl14"/>
  </w:abstractNum>
  <w:abstractNum w:abstractNumId="23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06628EE"/>
    <w:multiLevelType w:val="multilevel"/>
    <w:tmpl w:val="1010A992"/>
    <w:styleLink w:val="Zaimportowany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99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872661E"/>
    <w:multiLevelType w:val="hybridMultilevel"/>
    <w:tmpl w:val="390001AA"/>
    <w:numStyleLink w:val="Zaimportowanystyl50"/>
  </w:abstractNum>
  <w:abstractNum w:abstractNumId="26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409752B"/>
    <w:multiLevelType w:val="hybridMultilevel"/>
    <w:tmpl w:val="687A9AD6"/>
    <w:styleLink w:val="Zaimportowanystyl12"/>
    <w:lvl w:ilvl="0" w:tplc="AA08617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80F31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4C2F2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F833F0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8EBCE6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AA1EC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5C5748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E87BF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26A808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5147F54"/>
    <w:multiLevelType w:val="hybridMultilevel"/>
    <w:tmpl w:val="1A50D070"/>
    <w:lvl w:ilvl="0" w:tplc="F9D63C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ACDF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686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608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64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FC2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B03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E68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9A11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75E5CE0"/>
    <w:multiLevelType w:val="hybridMultilevel"/>
    <w:tmpl w:val="B798EF62"/>
    <w:numStyleLink w:val="Zaimportowanystyl3"/>
  </w:abstractNum>
  <w:abstractNum w:abstractNumId="30">
    <w:nsid w:val="71FD56C4"/>
    <w:multiLevelType w:val="hybridMultilevel"/>
    <w:tmpl w:val="990E25F8"/>
    <w:numStyleLink w:val="Zaimportowanystyl13"/>
  </w:abstractNum>
  <w:abstractNum w:abstractNumId="31">
    <w:nsid w:val="74CF0550"/>
    <w:multiLevelType w:val="hybridMultilevel"/>
    <w:tmpl w:val="139A54AE"/>
    <w:lvl w:ilvl="0" w:tplc="01AA49E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3CB45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DA74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487F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94DC8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0BE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982A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2E7CC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266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68C2685"/>
    <w:multiLevelType w:val="hybridMultilevel"/>
    <w:tmpl w:val="687A9AD6"/>
    <w:numStyleLink w:val="Zaimportowanystyl12"/>
  </w:abstractNum>
  <w:abstractNum w:abstractNumId="33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31"/>
  </w:num>
  <w:num w:numId="5">
    <w:abstractNumId w:val="17"/>
    <w:lvlOverride w:ilvl="1">
      <w:startOverride w:val="3"/>
    </w:lvlOverride>
  </w:num>
  <w:num w:numId="6">
    <w:abstractNumId w:val="17"/>
    <w:lvlOverride w:ilvl="0">
      <w:startOverride w:val="4"/>
    </w:lvlOverride>
  </w:num>
  <w:num w:numId="7">
    <w:abstractNumId w:val="0"/>
  </w:num>
  <w:num w:numId="8">
    <w:abstractNumId w:val="1"/>
  </w:num>
  <w:num w:numId="9">
    <w:abstractNumId w:val="17"/>
    <w:lvlOverride w:ilvl="0">
      <w:startOverride w:val="5"/>
    </w:lvlOverride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0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4"/>
  </w:num>
  <w:num w:numId="12">
    <w:abstractNumId w:val="11"/>
  </w:num>
  <w:num w:numId="13">
    <w:abstractNumId w:val="17"/>
    <w:lvlOverride w:ilvl="0">
      <w:startOverride w:val="6"/>
    </w:lvlOverride>
  </w:num>
  <w:num w:numId="14">
    <w:abstractNumId w:val="26"/>
  </w:num>
  <w:num w:numId="15">
    <w:abstractNumId w:val="7"/>
  </w:num>
  <w:num w:numId="16">
    <w:abstractNumId w:val="17"/>
    <w:lvlOverride w:ilvl="0">
      <w:startOverride w:val="8"/>
    </w:lvlOverride>
  </w:num>
  <w:num w:numId="17">
    <w:abstractNumId w:val="15"/>
  </w:num>
  <w:num w:numId="18">
    <w:abstractNumId w:val="10"/>
  </w:num>
  <w:num w:numId="19">
    <w:abstractNumId w:val="17"/>
    <w:lvlOverride w:ilvl="0">
      <w:startOverride w:val="9"/>
    </w:lvlOverride>
  </w:num>
  <w:num w:numId="20">
    <w:abstractNumId w:val="12"/>
  </w:num>
  <w:num w:numId="21">
    <w:abstractNumId w:val="19"/>
  </w:num>
  <w:num w:numId="22">
    <w:abstractNumId w:val="4"/>
  </w:num>
  <w:num w:numId="23">
    <w:abstractNumId w:val="29"/>
  </w:num>
  <w:num w:numId="24">
    <w:abstractNumId w:val="19"/>
    <w:lvlOverride w:ilvl="0">
      <w:startOverride w:val="3"/>
    </w:lvlOverride>
  </w:num>
  <w:num w:numId="25">
    <w:abstractNumId w:val="33"/>
  </w:num>
  <w:num w:numId="26">
    <w:abstractNumId w:val="13"/>
  </w:num>
  <w:num w:numId="27">
    <w:abstractNumId w:val="16"/>
  </w:num>
  <w:num w:numId="28">
    <w:abstractNumId w:val="25"/>
  </w:num>
  <w:num w:numId="29">
    <w:abstractNumId w:val="13"/>
    <w:lvlOverride w:ilvl="1">
      <w:startOverride w:val="4"/>
    </w:lvlOverride>
  </w:num>
  <w:num w:numId="30">
    <w:abstractNumId w:val="18"/>
  </w:num>
  <w:num w:numId="31">
    <w:abstractNumId w:val="20"/>
  </w:num>
  <w:num w:numId="32">
    <w:abstractNumId w:val="13"/>
    <w:lvlOverride w:ilvl="0">
      <w:startOverride w:val="2"/>
    </w:lvlOverride>
  </w:num>
  <w:num w:numId="33">
    <w:abstractNumId w:val="17"/>
    <w:lvlOverride w:ilvl="0">
      <w:startOverride w:val="10"/>
    </w:lvlOverride>
  </w:num>
  <w:num w:numId="34">
    <w:abstractNumId w:val="23"/>
  </w:num>
  <w:num w:numId="35">
    <w:abstractNumId w:val="6"/>
  </w:num>
  <w:num w:numId="36">
    <w:abstractNumId w:val="17"/>
    <w:lvlOverride w:ilvl="0">
      <w:startOverride w:val="11"/>
    </w:lvlOverride>
  </w:num>
  <w:num w:numId="37">
    <w:abstractNumId w:val="27"/>
  </w:num>
  <w:num w:numId="38">
    <w:abstractNumId w:val="32"/>
  </w:num>
  <w:num w:numId="39">
    <w:abstractNumId w:val="17"/>
    <w:lvlOverride w:ilvl="0">
      <w:startOverride w:val="11"/>
      <w:lvl w:ilvl="0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1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4"/>
  </w:num>
  <w:num w:numId="41">
    <w:abstractNumId w:val="30"/>
  </w:num>
  <w:num w:numId="42">
    <w:abstractNumId w:val="17"/>
    <w:lvlOverride w:ilvl="0">
      <w:startOverride w:val="12"/>
    </w:lvlOverride>
  </w:num>
  <w:num w:numId="43">
    <w:abstractNumId w:val="2"/>
  </w:num>
  <w:num w:numId="44">
    <w:abstractNumId w:val="22"/>
  </w:num>
  <w:num w:numId="45">
    <w:abstractNumId w:val="3"/>
  </w:num>
  <w:num w:numId="46">
    <w:abstractNumId w:val="21"/>
  </w:num>
  <w:num w:numId="47">
    <w:abstractNumId w:val="5"/>
  </w:num>
  <w:num w:numId="48">
    <w:abstractNumId w:val="8"/>
  </w:num>
  <w:num w:numId="49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35F"/>
    <w:rsid w:val="00026427"/>
    <w:rsid w:val="0006150B"/>
    <w:rsid w:val="00066B0C"/>
    <w:rsid w:val="00081F42"/>
    <w:rsid w:val="001241AE"/>
    <w:rsid w:val="0017754E"/>
    <w:rsid w:val="00193BB8"/>
    <w:rsid w:val="001C07C8"/>
    <w:rsid w:val="001D3A3F"/>
    <w:rsid w:val="001D5C1C"/>
    <w:rsid w:val="0023135F"/>
    <w:rsid w:val="002325AF"/>
    <w:rsid w:val="00286678"/>
    <w:rsid w:val="002A6CD2"/>
    <w:rsid w:val="002F3190"/>
    <w:rsid w:val="00311E75"/>
    <w:rsid w:val="00322A07"/>
    <w:rsid w:val="003541F1"/>
    <w:rsid w:val="00356475"/>
    <w:rsid w:val="003643B6"/>
    <w:rsid w:val="003D7635"/>
    <w:rsid w:val="00432B14"/>
    <w:rsid w:val="00444D9A"/>
    <w:rsid w:val="004462DD"/>
    <w:rsid w:val="0044775F"/>
    <w:rsid w:val="00467225"/>
    <w:rsid w:val="004A0023"/>
    <w:rsid w:val="00561287"/>
    <w:rsid w:val="00567959"/>
    <w:rsid w:val="005A496C"/>
    <w:rsid w:val="005D4E6D"/>
    <w:rsid w:val="005D645A"/>
    <w:rsid w:val="005E0799"/>
    <w:rsid w:val="005F7825"/>
    <w:rsid w:val="00621B40"/>
    <w:rsid w:val="00654E63"/>
    <w:rsid w:val="006B73BF"/>
    <w:rsid w:val="007321D6"/>
    <w:rsid w:val="007678CA"/>
    <w:rsid w:val="00791D39"/>
    <w:rsid w:val="007B5559"/>
    <w:rsid w:val="007C153A"/>
    <w:rsid w:val="007C642E"/>
    <w:rsid w:val="00843669"/>
    <w:rsid w:val="008543F2"/>
    <w:rsid w:val="00871978"/>
    <w:rsid w:val="008C2E93"/>
    <w:rsid w:val="008E3D91"/>
    <w:rsid w:val="009177CA"/>
    <w:rsid w:val="009418CB"/>
    <w:rsid w:val="0095323A"/>
    <w:rsid w:val="009542F6"/>
    <w:rsid w:val="00963D4D"/>
    <w:rsid w:val="00987DDA"/>
    <w:rsid w:val="009E7766"/>
    <w:rsid w:val="00A12987"/>
    <w:rsid w:val="00A31684"/>
    <w:rsid w:val="00A34F37"/>
    <w:rsid w:val="00A35A26"/>
    <w:rsid w:val="00A629C1"/>
    <w:rsid w:val="00AA5C6A"/>
    <w:rsid w:val="00AA5CFD"/>
    <w:rsid w:val="00AD5D23"/>
    <w:rsid w:val="00AE151D"/>
    <w:rsid w:val="00AF580B"/>
    <w:rsid w:val="00B24442"/>
    <w:rsid w:val="00B34534"/>
    <w:rsid w:val="00B64D1F"/>
    <w:rsid w:val="00B77B73"/>
    <w:rsid w:val="00BA29DD"/>
    <w:rsid w:val="00C55002"/>
    <w:rsid w:val="00C6539C"/>
    <w:rsid w:val="00C740DC"/>
    <w:rsid w:val="00CA303F"/>
    <w:rsid w:val="00CB739F"/>
    <w:rsid w:val="00CC5265"/>
    <w:rsid w:val="00CD3BAE"/>
    <w:rsid w:val="00D3444F"/>
    <w:rsid w:val="00D347AB"/>
    <w:rsid w:val="00D461A5"/>
    <w:rsid w:val="00D5569F"/>
    <w:rsid w:val="00D97CD0"/>
    <w:rsid w:val="00DE1405"/>
    <w:rsid w:val="00E72E16"/>
    <w:rsid w:val="00E93920"/>
    <w:rsid w:val="00EF7F5F"/>
    <w:rsid w:val="00F21344"/>
    <w:rsid w:val="00F418B9"/>
    <w:rsid w:val="00F7214B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3">
    <w:name w:val="Zaimportowany styl 3"/>
    <w:pPr>
      <w:numPr>
        <w:numId w:val="22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25"/>
      </w:numPr>
    </w:pPr>
  </w:style>
  <w:style w:type="numbering" w:customStyle="1" w:styleId="Zaimportowanystyl50">
    <w:name w:val="Zaimportowany styl 5.0"/>
    <w:pPr>
      <w:numPr>
        <w:numId w:val="27"/>
      </w:numPr>
    </w:pPr>
  </w:style>
  <w:style w:type="numbering" w:customStyle="1" w:styleId="Zaimportowanystyl60">
    <w:name w:val="Zaimportowany styl 6.0"/>
    <w:pPr>
      <w:numPr>
        <w:numId w:val="30"/>
      </w:numPr>
    </w:pPr>
  </w:style>
  <w:style w:type="numbering" w:customStyle="1" w:styleId="Zaimportowanystyl70">
    <w:name w:val="Zaimportowany styl 7.0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4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3">
    <w:name w:val="Zaimportowany styl 3"/>
    <w:pPr>
      <w:numPr>
        <w:numId w:val="22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25"/>
      </w:numPr>
    </w:pPr>
  </w:style>
  <w:style w:type="numbering" w:customStyle="1" w:styleId="Zaimportowanystyl50">
    <w:name w:val="Zaimportowany styl 5.0"/>
    <w:pPr>
      <w:numPr>
        <w:numId w:val="27"/>
      </w:numPr>
    </w:pPr>
  </w:style>
  <w:style w:type="numbering" w:customStyle="1" w:styleId="Zaimportowanystyl60">
    <w:name w:val="Zaimportowany styl 6.0"/>
    <w:pPr>
      <w:numPr>
        <w:numId w:val="30"/>
      </w:numPr>
    </w:pPr>
  </w:style>
  <w:style w:type="numbering" w:customStyle="1" w:styleId="Zaimportowanystyl70">
    <w:name w:val="Zaimportowany styl 7.0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4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roclaw/sites/wsb.pl.wroclaw/files/default_images/zalacznik_nr_2_-_oswiadczenie_o_braku_powiazan_do_szacowania_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42</cp:revision>
  <dcterms:created xsi:type="dcterms:W3CDTF">2018-06-29T11:51:00Z</dcterms:created>
  <dcterms:modified xsi:type="dcterms:W3CDTF">2018-07-02T10:05:00Z</dcterms:modified>
</cp:coreProperties>
</file>